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2A56" w:rsidR="000B2A56" w:rsidP="000B2A56" w:rsidRDefault="000B2A56" w14:paraId="40F9BD79" w14:textId="48D74621">
      <w:pPr>
        <w:jc w:val="center"/>
        <w:rPr>
          <w:b/>
          <w:bCs/>
          <w:sz w:val="28"/>
          <w:szCs w:val="28"/>
          <w:u w:val="single"/>
        </w:rPr>
      </w:pPr>
      <w:r w:rsidRPr="002F5240">
        <w:rPr>
          <w:b/>
          <w:bCs/>
          <w:sz w:val="28"/>
          <w:szCs w:val="28"/>
          <w:u w:val="single"/>
        </w:rPr>
        <w:t>Equitable and Respectful Care Education Resources</w:t>
      </w:r>
    </w:p>
    <w:tbl>
      <w:tblPr>
        <w:tblStyle w:val="TableGrid"/>
        <w:tblpPr w:leftFromText="180" w:rightFromText="180" w:vertAnchor="page" w:tblpY="2459"/>
        <w:tblW w:w="9805" w:type="dxa"/>
        <w:tblLook w:val="04A0" w:firstRow="1" w:lastRow="0" w:firstColumn="1" w:lastColumn="0" w:noHBand="0" w:noVBand="1"/>
      </w:tblPr>
      <w:tblGrid>
        <w:gridCol w:w="265"/>
        <w:gridCol w:w="3345"/>
        <w:gridCol w:w="1200"/>
        <w:gridCol w:w="4995"/>
      </w:tblGrid>
      <w:tr w:rsidR="000B2A56" w:rsidTr="3D2C7E5F" w14:paraId="22692865" w14:textId="77777777">
        <w:trPr>
          <w:trHeight w:val="300"/>
        </w:trPr>
        <w:tc>
          <w:tcPr>
            <w:tcW w:w="3610" w:type="dxa"/>
            <w:gridSpan w:val="2"/>
            <w:shd w:val="clear" w:color="auto" w:fill="F7CAAC" w:themeFill="accent2" w:themeFillTint="66"/>
            <w:tcMar/>
          </w:tcPr>
          <w:p w:rsidRPr="009C68C3" w:rsidR="000B2A56" w:rsidP="3D2C7E5F" w:rsidRDefault="000B2A56" w14:paraId="4B566AB8" w14:textId="77777777" w14:noSpellErr="1">
            <w:pPr>
              <w:jc w:val="center"/>
              <w:rPr>
                <w:b w:val="1"/>
                <w:bCs w:val="1"/>
              </w:rPr>
            </w:pPr>
            <w:r w:rsidRPr="3D2C7E5F" w:rsidR="6B49F5DD">
              <w:rPr>
                <w:b w:val="1"/>
                <w:bCs w:val="1"/>
              </w:rPr>
              <w:t>Type of Education &amp; Resource Selection</w:t>
            </w:r>
          </w:p>
        </w:tc>
        <w:tc>
          <w:tcPr>
            <w:tcW w:w="1200" w:type="dxa"/>
            <w:shd w:val="clear" w:color="auto" w:fill="F7CAAC" w:themeFill="accent2" w:themeFillTint="66"/>
            <w:tcMar/>
          </w:tcPr>
          <w:p w:rsidRPr="009C68C3" w:rsidR="000B2A56" w:rsidP="3D2C7E5F" w:rsidRDefault="000B2A56" w14:paraId="4D48FCFE" w14:textId="77777777" w14:noSpellErr="1">
            <w:pPr>
              <w:jc w:val="center"/>
              <w:rPr>
                <w:b w:val="1"/>
                <w:bCs w:val="1"/>
              </w:rPr>
            </w:pPr>
            <w:r w:rsidRPr="3D2C7E5F" w:rsidR="6B49F5DD">
              <w:rPr>
                <w:b w:val="1"/>
                <w:bCs w:val="1"/>
              </w:rPr>
              <w:t>Targeted Staff</w:t>
            </w:r>
          </w:p>
        </w:tc>
        <w:tc>
          <w:tcPr>
            <w:tcW w:w="4995" w:type="dxa"/>
            <w:shd w:val="clear" w:color="auto" w:fill="F7CAAC" w:themeFill="accent2" w:themeFillTint="66"/>
            <w:tcMar/>
          </w:tcPr>
          <w:p w:rsidRPr="009C68C3" w:rsidR="000B2A56" w:rsidP="3D2C7E5F" w:rsidRDefault="000B2A56" w14:paraId="041E888C" w14:textId="77777777" w14:noSpellErr="1">
            <w:pPr>
              <w:jc w:val="center"/>
              <w:rPr>
                <w:b w:val="1"/>
                <w:bCs w:val="1"/>
              </w:rPr>
            </w:pPr>
            <w:r w:rsidRPr="3D2C7E5F" w:rsidR="6B49F5DD">
              <w:rPr>
                <w:b w:val="1"/>
                <w:bCs w:val="1"/>
              </w:rPr>
              <w:t>Brief Description</w:t>
            </w:r>
          </w:p>
        </w:tc>
      </w:tr>
      <w:tr w:rsidR="000B2A56" w:rsidTr="3D2C7E5F" w14:paraId="1848440D" w14:textId="77777777">
        <w:trPr>
          <w:trHeight w:val="30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Pr="009C68C3" w:rsidR="000B2A56" w:rsidP="00FD4508" w:rsidRDefault="000B2A56" w14:paraId="373F73BF" w14:textId="7AB0AB0E">
            <w:pPr>
              <w:rPr>
                <w:b w:val="1"/>
                <w:bCs w:val="1"/>
              </w:rPr>
            </w:pPr>
            <w:r w:rsidRPr="3D2C7E5F" w:rsidR="796A80FD">
              <w:rPr>
                <w:b w:val="1"/>
                <w:bCs w:val="1"/>
              </w:rPr>
              <w:t xml:space="preserve">Step 1: </w:t>
            </w:r>
            <w:r w:rsidRPr="3D2C7E5F" w:rsidR="6B49F5DD">
              <w:rPr>
                <w:b w:val="1"/>
                <w:bCs w:val="1"/>
              </w:rPr>
              <w:t>E-Module</w:t>
            </w:r>
            <w:r w:rsidRPr="3D2C7E5F" w:rsidR="6B49F5DD">
              <w:rPr>
                <w:b w:val="1"/>
                <w:bCs w:val="1"/>
              </w:rPr>
              <w:t>s</w:t>
            </w:r>
          </w:p>
        </w:tc>
      </w:tr>
      <w:tr w:rsidR="000B2A56" w:rsidTr="3D2C7E5F" w14:paraId="6B72FBDE" w14:textId="77777777">
        <w:trPr>
          <w:trHeight w:val="720"/>
        </w:trPr>
        <w:tc>
          <w:tcPr>
            <w:tcW w:w="9805" w:type="dxa"/>
            <w:gridSpan w:val="4"/>
            <w:shd w:val="clear" w:color="auto" w:fill="auto"/>
            <w:tcMar/>
          </w:tcPr>
          <w:p w:rsidRPr="00E80AC2" w:rsidR="000B2A56" w:rsidP="3D2C7E5F" w:rsidRDefault="000B2A56" w14:paraId="27675C26" w14:textId="0D04865A">
            <w:pPr>
              <w:pStyle w:val="Normal"/>
              <w:spacing w:before="120" w:beforeAutospacing="off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D2C7E5F" w:rsidR="6B49F5DD">
              <w:rPr>
                <w:sz w:val="22"/>
                <w:szCs w:val="22"/>
                <w:highlight w:val="yellow"/>
              </w:rPr>
              <w:t>START HERE:</w:t>
            </w:r>
            <w:r w:rsidRPr="3D2C7E5F" w:rsidR="6B49F5DD">
              <w:rPr>
                <w:sz w:val="22"/>
                <w:szCs w:val="22"/>
              </w:rPr>
              <w:t xml:space="preserve"> </w:t>
            </w:r>
            <w:r w:rsidRPr="3D2C7E5F" w:rsidR="6B49F5DD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E80AC2" w:rsidR="000B2A56" w:rsidP="00FD4508" w:rsidRDefault="000B2A56" w14:paraId="4346E4D6" w14:textId="77777777">
            <w:pPr>
              <w:rPr>
                <w:sz w:val="22"/>
                <w:szCs w:val="22"/>
              </w:rPr>
            </w:pPr>
            <w:r w:rsidRPr="00E80AC2">
              <w:rPr>
                <w:sz w:val="22"/>
                <w:szCs w:val="22"/>
              </w:rPr>
              <w:t xml:space="preserve">I-PROMOTE-IL </w:t>
            </w:r>
            <w:hyperlink w:history="1" r:id="rId7">
              <w:r w:rsidRPr="00E80AC2">
                <w:rPr>
                  <w:rStyle w:val="Hyperlink"/>
                  <w:sz w:val="22"/>
                  <w:szCs w:val="22"/>
                </w:rPr>
                <w:t>Implicit Bias Training Directory</w:t>
              </w:r>
            </w:hyperlink>
          </w:p>
          <w:p w:rsidRPr="009C68C3" w:rsidR="000B2A56" w:rsidP="3D2C7E5F" w:rsidRDefault="000B2A56" w14:paraId="11C5C714" w14:textId="77777777" w14:noSpellErr="1">
            <w:pPr>
              <w:spacing w:after="120" w:afterAutospacing="off"/>
              <w:rPr>
                <w:b w:val="1"/>
                <w:bCs w:val="1"/>
                <w:i w:val="1"/>
                <w:iCs w:val="1"/>
              </w:rPr>
            </w:pPr>
            <w:r w:rsidRPr="3D2C7E5F" w:rsidR="6B49F5DD">
              <w:rPr>
                <w:b w:val="1"/>
                <w:bCs w:val="1"/>
                <w:i w:val="1"/>
                <w:iCs w:val="1"/>
                <w:sz w:val="22"/>
                <w:szCs w:val="22"/>
              </w:rPr>
              <w:t>ESSI Teams may find the following e-learning modules in the directory most helpful:</w:t>
            </w:r>
          </w:p>
        </w:tc>
      </w:tr>
      <w:tr w:rsidR="000B2A56" w:rsidTr="3D2C7E5F" w14:paraId="4C9E4A7B" w14:textId="77777777">
        <w:trPr>
          <w:gridBefore w:val="1"/>
          <w:wBefore w:w="265" w:type="dxa"/>
          <w:trHeight w:val="300"/>
        </w:trPr>
        <w:tc>
          <w:tcPr>
            <w:tcW w:w="3345" w:type="dxa"/>
            <w:shd w:val="clear" w:color="auto" w:fill="auto"/>
            <w:tcMar/>
            <w:vAlign w:val="center"/>
          </w:tcPr>
          <w:p w:rsidR="000B2A56" w:rsidP="00FD4508" w:rsidRDefault="000B2A56" w14:paraId="549C82BF" w14:textId="77777777">
            <w:pPr>
              <w:rPr>
                <w:sz w:val="22"/>
                <w:szCs w:val="22"/>
              </w:rPr>
            </w:pPr>
            <w:r w:rsidRPr="007D7326">
              <w:rPr>
                <w:sz w:val="22"/>
                <w:szCs w:val="22"/>
              </w:rPr>
              <w:t>National Healthy Start Association-AIM CCI</w:t>
            </w:r>
            <w:r>
              <w:rPr>
                <w:sz w:val="22"/>
                <w:szCs w:val="22"/>
              </w:rPr>
              <w:t xml:space="preserve">, </w:t>
            </w:r>
            <w:hyperlink w:history="1" r:id="rId8">
              <w:r w:rsidRPr="007D7326">
                <w:rPr>
                  <w:rStyle w:val="Hyperlink"/>
                  <w:sz w:val="22"/>
                  <w:szCs w:val="22"/>
                </w:rPr>
                <w:t>Racial Equity Learning Series</w:t>
              </w:r>
            </w:hyperlink>
          </w:p>
          <w:p w:rsidR="006D4B25" w:rsidP="00FD4508" w:rsidRDefault="006D4B25" w14:paraId="1D9BDFD8" w14:noSpellErr="1" w14:textId="77B60575">
            <w:pPr>
              <w:rPr>
                <w:sz w:val="22"/>
                <w:szCs w:val="22"/>
              </w:rPr>
            </w:pPr>
            <w:r w:rsidRPr="3D2C7E5F" w:rsidR="4D088510">
              <w:rPr>
                <w:sz w:val="22"/>
                <w:szCs w:val="22"/>
              </w:rPr>
              <w:t xml:space="preserve"> </w:t>
            </w:r>
          </w:p>
          <w:p w:rsidRPr="007D7326" w:rsidR="006D4B25" w:rsidP="00FD4508" w:rsidRDefault="006D4B25" w14:paraId="353556EE" w14:textId="16D9E68B">
            <w:pPr>
              <w:rPr>
                <w:sz w:val="22"/>
                <w:szCs w:val="22"/>
              </w:rPr>
            </w:pP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Focus</w:t>
            </w: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:</w:t>
            </w:r>
            <w:r w:rsidRPr="3D2C7E5F" w:rsidR="1F39223B">
              <w:rPr>
                <w:sz w:val="22"/>
                <w:szCs w:val="22"/>
              </w:rPr>
              <w:t xml:space="preserve"> </w:t>
            </w:r>
            <w:r w:rsidRPr="3D2C7E5F" w:rsidR="03E57B34">
              <w:rPr>
                <w:sz w:val="22"/>
                <w:szCs w:val="22"/>
              </w:rPr>
              <w:t>A</w:t>
            </w:r>
            <w:r w:rsidRPr="3D2C7E5F" w:rsidR="1F39223B">
              <w:rPr>
                <w:sz w:val="22"/>
                <w:szCs w:val="22"/>
              </w:rPr>
              <w:t>cknowledg</w:t>
            </w:r>
            <w:r w:rsidRPr="3D2C7E5F" w:rsidR="1F39223B">
              <w:rPr>
                <w:sz w:val="22"/>
                <w:szCs w:val="22"/>
              </w:rPr>
              <w:t xml:space="preserve">ing </w:t>
            </w:r>
            <w:r w:rsidRPr="3D2C7E5F" w:rsidR="1F39223B">
              <w:rPr>
                <w:sz w:val="22"/>
                <w:szCs w:val="22"/>
              </w:rPr>
              <w:t>racism, institutional transformation, personal</w:t>
            </w:r>
            <w:r w:rsidRPr="3D2C7E5F" w:rsidR="1F39223B">
              <w:rPr>
                <w:sz w:val="22"/>
                <w:szCs w:val="22"/>
              </w:rPr>
              <w:t>/</w:t>
            </w:r>
            <w:r w:rsidRPr="3D2C7E5F" w:rsidR="1F39223B">
              <w:rPr>
                <w:sz w:val="22"/>
                <w:szCs w:val="22"/>
              </w:rPr>
              <w:t>systemic change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7D7326" w:rsidR="000B2A56" w:rsidP="00FD4508" w:rsidRDefault="000B2A56" w14:paraId="5A54B5D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7D7326" w:rsidR="000B2A56" w:rsidP="00FD4508" w:rsidRDefault="000B2A56" w14:paraId="7ED1AB1C" w14:textId="6458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 </w:t>
            </w:r>
            <w:r w:rsidRPr="007D7326">
              <w:rPr>
                <w:sz w:val="22"/>
                <w:szCs w:val="22"/>
              </w:rPr>
              <w:t xml:space="preserve">comprehensive, evidence-informed bias training to reduce inequitable clinical and social practices within maternal healthcare. This training is a web-based learning series consisting of an introduction, seven modules containing topic information, activities, a short quiz that builds on previous modules, and a conclusion. </w:t>
            </w:r>
          </w:p>
        </w:tc>
      </w:tr>
      <w:tr w:rsidR="000B2A56" w:rsidTr="3D2C7E5F" w14:paraId="5DD70811" w14:textId="77777777">
        <w:trPr>
          <w:gridBefore w:val="1"/>
          <w:wBefore w:w="265" w:type="dxa"/>
          <w:trHeight w:val="2325"/>
        </w:trPr>
        <w:tc>
          <w:tcPr>
            <w:tcW w:w="3345" w:type="dxa"/>
            <w:shd w:val="clear" w:color="auto" w:fill="auto"/>
            <w:tcMar/>
            <w:vAlign w:val="center"/>
          </w:tcPr>
          <w:p w:rsidR="000B2A56" w:rsidP="00FD4508" w:rsidRDefault="000B2A56" w14:paraId="2C1809EE" w14:textId="77777777">
            <w:pPr>
              <w:rPr>
                <w:sz w:val="22"/>
                <w:szCs w:val="22"/>
              </w:rPr>
            </w:pPr>
            <w:r w:rsidRPr="007D7326">
              <w:rPr>
                <w:sz w:val="22"/>
                <w:szCs w:val="22"/>
              </w:rPr>
              <w:t xml:space="preserve">March of Dimes, </w:t>
            </w:r>
            <w:hyperlink w:history="1" r:id="rId9">
              <w:r w:rsidRPr="007D7326">
                <w:rPr>
                  <w:rStyle w:val="Hyperlink"/>
                  <w:sz w:val="22"/>
                  <w:szCs w:val="22"/>
                </w:rPr>
                <w:t>Awareness to Action: Dismantling Bias in Maternal and Infant Healthcare</w:t>
              </w:r>
            </w:hyperlink>
          </w:p>
          <w:p w:rsidR="006D4B25" w:rsidP="00FD4508" w:rsidRDefault="006D4B25" w14:paraId="408FE647" w14:textId="77777777">
            <w:pPr>
              <w:rPr>
                <w:sz w:val="22"/>
                <w:szCs w:val="22"/>
              </w:rPr>
            </w:pPr>
          </w:p>
          <w:p w:rsidRPr="007D7326" w:rsidR="006D4B25" w:rsidP="3D2C7E5F" w:rsidRDefault="006D4B25" w14:paraId="2D1D7F51" w14:textId="4B97A187">
            <w:pPr>
              <w:rPr>
                <w:sz w:val="22"/>
                <w:szCs w:val="22"/>
              </w:rPr>
            </w:pP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Focus</w:t>
            </w: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:</w:t>
            </w:r>
            <w:r w:rsidRPr="3D2C7E5F" w:rsidR="1F39223B">
              <w:rPr>
                <w:sz w:val="22"/>
                <w:szCs w:val="22"/>
              </w:rPr>
              <w:t xml:space="preserve"> </w:t>
            </w:r>
            <w:r w:rsidRPr="3D2C7E5F" w:rsidR="67AE35B1">
              <w:rPr>
                <w:sz w:val="22"/>
                <w:szCs w:val="22"/>
              </w:rPr>
              <w:t>I</w:t>
            </w:r>
            <w:r w:rsidRPr="3D2C7E5F" w:rsidR="1F39223B">
              <w:rPr>
                <w:sz w:val="22"/>
                <w:szCs w:val="22"/>
              </w:rPr>
              <w:t>dentify</w:t>
            </w:r>
            <w:r w:rsidRPr="3D2C7E5F" w:rsidR="1F39223B">
              <w:rPr>
                <w:sz w:val="22"/>
                <w:szCs w:val="22"/>
              </w:rPr>
              <w:t>ing</w:t>
            </w:r>
            <w:r w:rsidRPr="3D2C7E5F" w:rsidR="1F39223B">
              <w:rPr>
                <w:sz w:val="22"/>
                <w:szCs w:val="22"/>
              </w:rPr>
              <w:t xml:space="preserve"> bias and its impacts on maternity care</w:t>
            </w:r>
            <w:r w:rsidRPr="3D2C7E5F" w:rsidR="1F39223B">
              <w:rPr>
                <w:sz w:val="22"/>
                <w:szCs w:val="22"/>
              </w:rPr>
              <w:t xml:space="preserve">, </w:t>
            </w:r>
            <w:r w:rsidRPr="3D2C7E5F" w:rsidR="1F39223B">
              <w:rPr>
                <w:sz w:val="22"/>
                <w:szCs w:val="22"/>
              </w:rPr>
              <w:t>structural racism</w:t>
            </w:r>
            <w:r w:rsidRPr="3D2C7E5F" w:rsidR="7D06176A">
              <w:rPr>
                <w:sz w:val="22"/>
                <w:szCs w:val="22"/>
              </w:rPr>
              <w:t xml:space="preserve"> </w:t>
            </w:r>
          </w:p>
          <w:p w:rsidRPr="007D7326" w:rsidR="006D4B25" w:rsidP="3D2C7E5F" w:rsidRDefault="006D4B25" w14:paraId="744D9FB9" w14:textId="0A21E64E">
            <w:pPr>
              <w:pStyle w:val="Normal"/>
              <w:rPr>
                <w:sz w:val="22"/>
                <w:szCs w:val="22"/>
              </w:rPr>
            </w:pPr>
          </w:p>
          <w:p w:rsidRPr="007D7326" w:rsidR="006D4B25" w:rsidP="3D2C7E5F" w:rsidRDefault="006D4B25" w14:paraId="752AB589" w14:textId="6C93EC31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2443BE8F">
              <w:rPr>
                <w:b w:val="1"/>
                <w:bCs w:val="1"/>
                <w:sz w:val="22"/>
                <w:szCs w:val="22"/>
              </w:rPr>
              <w:t>60-90 minutes</w:t>
            </w:r>
          </w:p>
          <w:p w:rsidRPr="007D7326" w:rsidR="006D4B25" w:rsidP="3D2C7E5F" w:rsidRDefault="006D4B25" w14:paraId="6F9C2D84" w14:textId="550092D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7D06176A">
              <w:rPr>
                <w:b w:val="1"/>
                <w:bCs w:val="1"/>
                <w:sz w:val="22"/>
                <w:szCs w:val="22"/>
              </w:rPr>
              <w:t>Cost: $50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7D7326" w:rsidR="000B2A56" w:rsidP="00FD4508" w:rsidRDefault="000B2A56" w14:paraId="558B232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7D7326" w:rsidR="000B2A56" w:rsidP="00FD4508" w:rsidRDefault="000B2A56" w14:paraId="55D169DC" w14:textId="12D829B9">
            <w:pPr>
              <w:rPr>
                <w:sz w:val="22"/>
                <w:szCs w:val="22"/>
              </w:rPr>
            </w:pPr>
            <w:r w:rsidRPr="3D2C7E5F" w:rsidR="6B49F5DD">
              <w:rPr>
                <w:sz w:val="22"/>
                <w:szCs w:val="22"/>
              </w:rPr>
              <w:t>This</w:t>
            </w:r>
            <w:r w:rsidRPr="3D2C7E5F" w:rsidR="6B49F5DD">
              <w:rPr>
                <w:color w:val="C00000"/>
                <w:sz w:val="22"/>
                <w:szCs w:val="22"/>
              </w:rPr>
              <w:t xml:space="preserve"> </w:t>
            </w:r>
            <w:r w:rsidRPr="3D2C7E5F" w:rsidR="6B49F5DD">
              <w:rPr>
                <w:sz w:val="22"/>
                <w:szCs w:val="22"/>
              </w:rPr>
              <w:t xml:space="preserve">training covers bias awareness in caring for </w:t>
            </w:r>
            <w:r w:rsidRPr="3D2C7E5F" w:rsidR="58A569B2">
              <w:rPr>
                <w:sz w:val="22"/>
                <w:szCs w:val="22"/>
              </w:rPr>
              <w:t>a</w:t>
            </w:r>
            <w:r w:rsidRPr="3D2C7E5F" w:rsidR="6B49F5DD">
              <w:rPr>
                <w:sz w:val="22"/>
                <w:szCs w:val="22"/>
              </w:rPr>
              <w:t xml:space="preserve"> </w:t>
            </w:r>
            <w:r w:rsidRPr="3D2C7E5F" w:rsidR="01F9FDB7">
              <w:rPr>
                <w:sz w:val="22"/>
                <w:szCs w:val="22"/>
              </w:rPr>
              <w:t xml:space="preserve">birthing </w:t>
            </w:r>
            <w:r w:rsidRPr="3D2C7E5F" w:rsidR="6B49F5DD">
              <w:rPr>
                <w:sz w:val="22"/>
                <w:szCs w:val="22"/>
              </w:rPr>
              <w:t xml:space="preserve">person before, during, and after pregnancy. Course topics include learning how to </w:t>
            </w:r>
            <w:r w:rsidRPr="3D2C7E5F" w:rsidR="6B49F5DD">
              <w:rPr>
                <w:sz w:val="22"/>
                <w:szCs w:val="22"/>
              </w:rPr>
              <w:t>identify</w:t>
            </w:r>
            <w:r w:rsidRPr="3D2C7E5F" w:rsidR="6B49F5DD">
              <w:rPr>
                <w:sz w:val="22"/>
                <w:szCs w:val="22"/>
              </w:rPr>
              <w:t xml:space="preserve"> bias and its impacts on maternity care settings and how structural racism plays into implicit biases. </w:t>
            </w:r>
            <w:r w:rsidRPr="3D2C7E5F" w:rsidR="1F39223B">
              <w:rPr>
                <w:sz w:val="22"/>
                <w:szCs w:val="22"/>
              </w:rPr>
              <w:t>The</w:t>
            </w:r>
            <w:r w:rsidRPr="3D2C7E5F" w:rsidR="6B49F5DD">
              <w:rPr>
                <w:sz w:val="22"/>
                <w:szCs w:val="22"/>
              </w:rPr>
              <w:t xml:space="preserve"> course will </w:t>
            </w:r>
            <w:r w:rsidRPr="3D2C7E5F" w:rsidR="6B49F5DD">
              <w:rPr>
                <w:sz w:val="22"/>
                <w:szCs w:val="22"/>
              </w:rPr>
              <w:t>provide</w:t>
            </w:r>
            <w:r w:rsidRPr="3D2C7E5F" w:rsidR="6B49F5DD">
              <w:rPr>
                <w:sz w:val="22"/>
                <w:szCs w:val="22"/>
              </w:rPr>
              <w:t xml:space="preserve"> strategies to mitigate one’s own biases and discuss how to </w:t>
            </w:r>
            <w:r w:rsidRPr="3D2C7E5F" w:rsidR="6B49F5DD">
              <w:rPr>
                <w:sz w:val="22"/>
                <w:szCs w:val="22"/>
              </w:rPr>
              <w:t>establish</w:t>
            </w:r>
            <w:r w:rsidRPr="3D2C7E5F" w:rsidR="6B49F5DD">
              <w:rPr>
                <w:sz w:val="22"/>
                <w:szCs w:val="22"/>
              </w:rPr>
              <w:t xml:space="preserve"> a culture of equity to elevate quality of care. </w:t>
            </w:r>
          </w:p>
        </w:tc>
      </w:tr>
      <w:tr w:rsidR="000B2A56" w:rsidTr="3D2C7E5F" w14:paraId="371E8F23" w14:textId="77777777">
        <w:trPr>
          <w:gridBefore w:val="1"/>
          <w:wBefore w:w="265" w:type="dxa"/>
          <w:trHeight w:val="2310"/>
        </w:trPr>
        <w:tc>
          <w:tcPr>
            <w:tcW w:w="3345" w:type="dxa"/>
            <w:shd w:val="clear" w:color="auto" w:fill="auto"/>
            <w:tcMar/>
            <w:vAlign w:val="center"/>
          </w:tcPr>
          <w:p w:rsidR="000B2A56" w:rsidP="00FD4508" w:rsidRDefault="000B2A56" w14:paraId="70432044" w14:textId="77777777" w14:noSpellErr="1">
            <w:pPr>
              <w:rPr>
                <w:sz w:val="22"/>
                <w:szCs w:val="22"/>
              </w:rPr>
            </w:pPr>
            <w:r w:rsidRPr="3D2C7E5F" w:rsidR="6B49F5DD">
              <w:rPr>
                <w:i w:val="0"/>
                <w:iCs w:val="0"/>
                <w:sz w:val="22"/>
                <w:szCs w:val="22"/>
              </w:rPr>
              <w:t>Think Cultural Health,</w:t>
            </w:r>
            <w:r w:rsidRPr="3D2C7E5F" w:rsidR="6B49F5DD">
              <w:rPr>
                <w:sz w:val="22"/>
                <w:szCs w:val="22"/>
              </w:rPr>
              <w:t xml:space="preserve"> </w:t>
            </w:r>
            <w:hyperlink r:id="R5acae27a6cfa451c">
              <w:r w:rsidRPr="3D2C7E5F" w:rsidR="6B49F5DD">
                <w:rPr>
                  <w:rStyle w:val="Hyperlink"/>
                  <w:sz w:val="22"/>
                  <w:szCs w:val="22"/>
                </w:rPr>
                <w:t>An introduction to CLAS in maternal health care</w:t>
              </w:r>
            </w:hyperlink>
          </w:p>
          <w:p w:rsidR="006D4B25" w:rsidP="00FD4508" w:rsidRDefault="006D4B25" w14:paraId="74401675" w14:textId="77777777">
            <w:pPr>
              <w:rPr>
                <w:sz w:val="22"/>
                <w:szCs w:val="22"/>
              </w:rPr>
            </w:pPr>
          </w:p>
          <w:p w:rsidRPr="007D7326" w:rsidR="006D4B25" w:rsidP="3D2C7E5F" w:rsidRDefault="006D4B25" w14:paraId="35DF77A0" w14:textId="50AD3BF0">
            <w:pPr>
              <w:rPr>
                <w:sz w:val="22"/>
                <w:szCs w:val="22"/>
              </w:rPr>
            </w:pP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Focus</w:t>
            </w: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:</w:t>
            </w:r>
            <w:r w:rsidRPr="3D2C7E5F" w:rsidR="1F39223B">
              <w:rPr>
                <w:sz w:val="22"/>
                <w:szCs w:val="22"/>
              </w:rPr>
              <w:t xml:space="preserve"> </w:t>
            </w:r>
            <w:r w:rsidRPr="3D2C7E5F" w:rsidR="68F6D37F">
              <w:rPr>
                <w:sz w:val="22"/>
                <w:szCs w:val="22"/>
              </w:rPr>
              <w:t>C</w:t>
            </w:r>
            <w:r w:rsidRPr="3D2C7E5F" w:rsidR="1F39223B">
              <w:rPr>
                <w:sz w:val="22"/>
                <w:szCs w:val="22"/>
              </w:rPr>
              <w:t>ultural competence</w:t>
            </w:r>
            <w:r w:rsidRPr="3D2C7E5F" w:rsidR="1F39223B">
              <w:rPr>
                <w:sz w:val="22"/>
                <w:szCs w:val="22"/>
              </w:rPr>
              <w:t>, cultural humility,</w:t>
            </w:r>
            <w:r w:rsidRPr="3D2C7E5F" w:rsidR="1F39223B">
              <w:rPr>
                <w:sz w:val="22"/>
                <w:szCs w:val="22"/>
              </w:rPr>
              <w:t xml:space="preserve"> patient-centered care</w:t>
            </w:r>
          </w:p>
          <w:p w:rsidRPr="007D7326" w:rsidR="006D4B25" w:rsidP="3D2C7E5F" w:rsidRDefault="006D4B25" w14:paraId="572D7448" w14:textId="55E06523">
            <w:pPr>
              <w:pStyle w:val="Normal"/>
              <w:rPr>
                <w:sz w:val="22"/>
                <w:szCs w:val="22"/>
              </w:rPr>
            </w:pPr>
          </w:p>
          <w:p w:rsidRPr="007D7326" w:rsidR="006D4B25" w:rsidP="3D2C7E5F" w:rsidRDefault="006D4B25" w14:paraId="0F5B16A1" w14:textId="4FC4F3D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238EFD13">
              <w:rPr>
                <w:b w:val="1"/>
                <w:bCs w:val="1"/>
                <w:sz w:val="22"/>
                <w:szCs w:val="22"/>
              </w:rPr>
              <w:t>60-90 minutes</w:t>
            </w:r>
          </w:p>
          <w:p w:rsidRPr="007D7326" w:rsidR="006D4B25" w:rsidP="3D2C7E5F" w:rsidRDefault="006D4B25" w14:paraId="1D5D6AA4" w14:textId="030B1F7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719789A0">
              <w:rPr>
                <w:b w:val="1"/>
                <w:bCs w:val="1"/>
                <w:sz w:val="22"/>
                <w:szCs w:val="22"/>
              </w:rPr>
              <w:t>Free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7D7326" w:rsidR="000B2A56" w:rsidP="00FD4508" w:rsidRDefault="000B2A56" w14:paraId="23D0CFB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7D7326" w:rsidR="000B2A56" w:rsidP="3D2C7E5F" w:rsidRDefault="000B2A56" w14:paraId="1CBDC440" w14:textId="12B7390C">
            <w:pPr>
              <w:spacing w:before="0" w:beforeAutospacing="on"/>
              <w:rPr>
                <w:sz w:val="22"/>
                <w:szCs w:val="22"/>
              </w:rPr>
            </w:pPr>
            <w:r w:rsidRPr="3D2C7E5F" w:rsidR="6B49F5DD">
              <w:rPr>
                <w:sz w:val="22"/>
                <w:szCs w:val="22"/>
              </w:rPr>
              <w:t>Th</w:t>
            </w:r>
            <w:r w:rsidRPr="3D2C7E5F" w:rsidR="6B49F5DD">
              <w:rPr>
                <w:sz w:val="22"/>
                <w:szCs w:val="22"/>
              </w:rPr>
              <w:t>is</w:t>
            </w:r>
            <w:r w:rsidRPr="3D2C7E5F" w:rsidR="6B49F5DD">
              <w:rPr>
                <w:sz w:val="22"/>
                <w:szCs w:val="22"/>
              </w:rPr>
              <w:t xml:space="preserve"> training is designed to teach healthcare providers skills related to cultural competence and humility with a focus on patient-centered care. Additionally, healthcare providers explore more about their own </w:t>
            </w:r>
            <w:r w:rsidRPr="3D2C7E5F" w:rsidR="6CFA5EF8">
              <w:rPr>
                <w:sz w:val="22"/>
                <w:szCs w:val="22"/>
              </w:rPr>
              <w:t>biases</w:t>
            </w:r>
            <w:r w:rsidRPr="3D2C7E5F" w:rsidR="6B49F5DD">
              <w:rPr>
                <w:sz w:val="22"/>
                <w:szCs w:val="22"/>
              </w:rPr>
              <w:t xml:space="preserve"> and learn strategies to mitigate the impact of bias within maternal healthcare. </w:t>
            </w:r>
          </w:p>
        </w:tc>
      </w:tr>
      <w:tr w:rsidR="000B2A56" w:rsidTr="3D2C7E5F" w14:paraId="350ED85C" w14:textId="77777777">
        <w:trPr>
          <w:gridBefore w:val="1"/>
          <w:wBefore w:w="265" w:type="dxa"/>
          <w:trHeight w:val="300"/>
        </w:trPr>
        <w:tc>
          <w:tcPr>
            <w:tcW w:w="3345" w:type="dxa"/>
            <w:shd w:val="clear" w:color="auto" w:fill="auto"/>
            <w:tcMar/>
            <w:vAlign w:val="center"/>
          </w:tcPr>
          <w:p w:rsidRPr="000B2A56" w:rsidR="000B2A56" w:rsidP="000B2A56" w:rsidRDefault="000B2A56" w14:paraId="34DD3198" w14:textId="4348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Diversity Science, </w:t>
            </w:r>
            <w:hyperlink w:history="1" r:id="rId11">
              <w:r w:rsidRPr="000B2A56">
                <w:rPr>
                  <w:rStyle w:val="Hyperlink"/>
                  <w:sz w:val="22"/>
                  <w:szCs w:val="22"/>
                </w:rPr>
                <w:t>Dignity in Pregnancy and Childbirth Course: Preventing Racial Bias in Perinatal Care</w:t>
              </w:r>
            </w:hyperlink>
            <w:r w:rsidRPr="000B2A56">
              <w:rPr>
                <w:sz w:val="22"/>
                <w:szCs w:val="22"/>
              </w:rPr>
              <w:t xml:space="preserve"> </w:t>
            </w:r>
          </w:p>
          <w:p w:rsidR="000B2A56" w:rsidP="00FD4508" w:rsidRDefault="000B2A56" w14:paraId="0678D8C1" w14:textId="77777777">
            <w:pPr>
              <w:rPr>
                <w:sz w:val="22"/>
                <w:szCs w:val="22"/>
              </w:rPr>
            </w:pPr>
          </w:p>
          <w:p w:rsidRPr="007D7326" w:rsidR="006D4B25" w:rsidP="3D2C7E5F" w:rsidRDefault="006D4B25" w14:noSpellErr="1" w14:paraId="510495D7" w14:textId="5E58D6E5">
            <w:pPr>
              <w:rPr>
                <w:sz w:val="22"/>
                <w:szCs w:val="22"/>
              </w:rPr>
            </w:pPr>
            <w:r w:rsidRPr="3D2C7E5F" w:rsidR="1F39223B">
              <w:rPr>
                <w:b w:val="1"/>
                <w:bCs w:val="1"/>
                <w:i w:val="1"/>
                <w:iCs w:val="1"/>
                <w:sz w:val="22"/>
                <w:szCs w:val="22"/>
              </w:rPr>
              <w:t>Focus:</w:t>
            </w:r>
            <w:r w:rsidRPr="3D2C7E5F" w:rsidR="1F39223B">
              <w:rPr>
                <w:sz w:val="22"/>
                <w:szCs w:val="22"/>
              </w:rPr>
              <w:t xml:space="preserve"> racial bias, historical implications for present day racism in MCH</w:t>
            </w:r>
          </w:p>
          <w:p w:rsidRPr="007D7326" w:rsidR="006D4B25" w:rsidP="3D2C7E5F" w:rsidRDefault="006D4B25" w14:paraId="7ACB1104" w14:textId="2F280D6E">
            <w:pPr>
              <w:pStyle w:val="Normal"/>
              <w:rPr>
                <w:sz w:val="22"/>
                <w:szCs w:val="22"/>
              </w:rPr>
            </w:pPr>
          </w:p>
          <w:p w:rsidRPr="007D7326" w:rsidR="006D4B25" w:rsidP="3D2C7E5F" w:rsidRDefault="006D4B25" w14:paraId="5C907D27" w14:textId="3A73B07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6C056FC1">
              <w:rPr>
                <w:b w:val="1"/>
                <w:bCs w:val="1"/>
                <w:sz w:val="22"/>
                <w:szCs w:val="22"/>
              </w:rPr>
              <w:t>60-90 minutes</w:t>
            </w:r>
          </w:p>
          <w:p w:rsidRPr="007D7326" w:rsidR="006D4B25" w:rsidP="3D2C7E5F" w:rsidRDefault="006D4B25" w14:paraId="2A65FAEC" w14:textId="0DB4C78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65BE27E5">
              <w:rPr>
                <w:b w:val="1"/>
                <w:bCs w:val="1"/>
                <w:sz w:val="22"/>
                <w:szCs w:val="22"/>
              </w:rPr>
              <w:t>F</w:t>
            </w:r>
            <w:r w:rsidRPr="3D2C7E5F" w:rsidR="6E10D49A">
              <w:rPr>
                <w:b w:val="1"/>
                <w:bCs w:val="1"/>
                <w:sz w:val="22"/>
                <w:szCs w:val="22"/>
              </w:rPr>
              <w:t>ree or $25 for CEs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7D7326" w:rsidR="000B2A56" w:rsidP="00FD4508" w:rsidRDefault="000B2A56" w14:paraId="2557F4F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7D7326" w:rsidR="000B2A56" w:rsidP="00FD4508" w:rsidRDefault="006D4B25" w14:paraId="3A5DA1A4" w14:textId="17FF1509">
            <w:pPr>
              <w:rPr>
                <w:sz w:val="22"/>
                <w:szCs w:val="22"/>
              </w:rPr>
            </w:pPr>
            <w:r w:rsidRPr="3D2C7E5F" w:rsidR="1F39223B">
              <w:rPr>
                <w:sz w:val="22"/>
                <w:szCs w:val="22"/>
              </w:rPr>
              <w:t xml:space="preserve">This three-part course </w:t>
            </w:r>
            <w:r w:rsidRPr="3D2C7E5F" w:rsidR="6B49F5DD">
              <w:rPr>
                <w:sz w:val="22"/>
                <w:szCs w:val="22"/>
              </w:rPr>
              <w:t xml:space="preserve">uses the example of real-life, composite stories to illustrate the way racial bias, however unintended, can undermine care. Each </w:t>
            </w:r>
            <w:r w:rsidRPr="3D2C7E5F" w:rsidR="30A3157A">
              <w:rPr>
                <w:sz w:val="22"/>
                <w:szCs w:val="22"/>
              </w:rPr>
              <w:t>segment</w:t>
            </w:r>
            <w:r w:rsidRPr="3D2C7E5F" w:rsidR="6B49F5DD">
              <w:rPr>
                <w:sz w:val="22"/>
                <w:szCs w:val="22"/>
              </w:rPr>
              <w:t xml:space="preserve"> </w:t>
            </w:r>
            <w:r w:rsidRPr="3D2C7E5F" w:rsidR="6B49F5DD">
              <w:rPr>
                <w:sz w:val="22"/>
                <w:szCs w:val="22"/>
              </w:rPr>
              <w:t>provi</w:t>
            </w:r>
            <w:r w:rsidRPr="3D2C7E5F" w:rsidR="6B49F5DD">
              <w:rPr>
                <w:sz w:val="22"/>
                <w:szCs w:val="22"/>
              </w:rPr>
              <w:t>des</w:t>
            </w:r>
            <w:r w:rsidRPr="3D2C7E5F" w:rsidR="6B49F5DD">
              <w:rPr>
                <w:sz w:val="22"/>
                <w:szCs w:val="22"/>
              </w:rPr>
              <w:t xml:space="preserve"> spec</w:t>
            </w:r>
            <w:r w:rsidRPr="3D2C7E5F" w:rsidR="6B49F5DD">
              <w:rPr>
                <w:sz w:val="22"/>
                <w:szCs w:val="22"/>
              </w:rPr>
              <w:t>i</w:t>
            </w:r>
            <w:r w:rsidRPr="3D2C7E5F" w:rsidR="6B49F5DD">
              <w:rPr>
                <w:sz w:val="22"/>
                <w:szCs w:val="22"/>
              </w:rPr>
              <w:t xml:space="preserve">fic, concrete, evidence-based strategies for interrupting racial bias. This course also includes information on the connection between the historical enslavement of people from West Africa and current day racism and stereotypes. </w:t>
            </w:r>
          </w:p>
        </w:tc>
      </w:tr>
      <w:tr w:rsidR="000B2A56" w:rsidTr="3D2C7E5F" w14:paraId="2E26EA3D" w14:textId="77777777">
        <w:trPr>
          <w:trHeight w:val="30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Pr="009C68C3" w:rsidR="000B2A56" w:rsidP="00FD4508" w:rsidRDefault="000B2A56" w14:paraId="158F1BB7" w14:textId="4C33C299">
            <w:pPr>
              <w:rPr>
                <w:b w:val="1"/>
                <w:bCs w:val="1"/>
              </w:rPr>
            </w:pPr>
            <w:r w:rsidRPr="3D2C7E5F" w:rsidR="4FC11A0A">
              <w:rPr>
                <w:b w:val="1"/>
                <w:bCs w:val="1"/>
              </w:rPr>
              <w:t xml:space="preserve">Step 2: 1 ESSI Team Member </w:t>
            </w:r>
            <w:r w:rsidRPr="3D2C7E5F" w:rsidR="75E641F8">
              <w:rPr>
                <w:b w:val="1"/>
                <w:bCs w:val="1"/>
              </w:rPr>
              <w:t>A</w:t>
            </w:r>
            <w:r w:rsidRPr="3D2C7E5F" w:rsidR="4FC11A0A">
              <w:rPr>
                <w:b w:val="1"/>
                <w:bCs w:val="1"/>
              </w:rPr>
              <w:t xml:space="preserve">ttends </w:t>
            </w:r>
            <w:r w:rsidRPr="3D2C7E5F" w:rsidR="6B49F5DD">
              <w:rPr>
                <w:b w:val="1"/>
                <w:bCs w:val="1"/>
              </w:rPr>
              <w:t>Live Training</w:t>
            </w:r>
          </w:p>
        </w:tc>
      </w:tr>
      <w:tr w:rsidR="000B2A56" w:rsidTr="3D2C7E5F" w14:paraId="7D3EA2B6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C30088" w:rsidR="000B2A56" w:rsidP="00C30088" w:rsidRDefault="00C30088" w14:paraId="3F47FD20" w14:textId="06CB0116">
            <w:pPr>
              <w:rPr>
                <w:sz w:val="22"/>
                <w:szCs w:val="22"/>
              </w:rPr>
            </w:pPr>
            <w:r w:rsidRPr="00C30088">
              <w:rPr>
                <w:sz w:val="22"/>
                <w:szCs w:val="22"/>
              </w:rPr>
              <w:t xml:space="preserve">Perinatal Quality Improvement, </w:t>
            </w:r>
            <w:hyperlink w:history="1" r:id="rId12">
              <w:r w:rsidRPr="00C30088">
                <w:rPr>
                  <w:rStyle w:val="Hyperlink"/>
                  <w:sz w:val="22"/>
                  <w:szCs w:val="22"/>
                </w:rPr>
                <w:t>SPEAK UP Champion Training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C30088" w:rsidR="000B2A56" w:rsidP="00C30088" w:rsidRDefault="00C30088" w14:paraId="47C6919C" w14:textId="7C98370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C30088" w:rsidR="000B2A56" w:rsidP="3D2C7E5F" w:rsidRDefault="00384016" w14:paraId="6A0CCF1B" w14:textId="674638E3">
            <w:pPr>
              <w:rPr>
                <w:sz w:val="22"/>
                <w:szCs w:val="22"/>
              </w:rPr>
            </w:pPr>
            <w:r w:rsidRPr="3D2C7E5F" w:rsidR="03FEFA42">
              <w:rPr>
                <w:sz w:val="22"/>
                <w:szCs w:val="22"/>
              </w:rPr>
              <w:t>This l</w:t>
            </w:r>
            <w:r w:rsidRPr="3D2C7E5F" w:rsidR="4626FA34">
              <w:rPr>
                <w:sz w:val="22"/>
                <w:szCs w:val="22"/>
              </w:rPr>
              <w:t xml:space="preserve">ive web-based training </w:t>
            </w:r>
            <w:r w:rsidRPr="3D2C7E5F" w:rsidR="3FAF0465">
              <w:rPr>
                <w:sz w:val="22"/>
                <w:szCs w:val="22"/>
              </w:rPr>
              <w:t xml:space="preserve">takes place </w:t>
            </w:r>
            <w:r w:rsidRPr="3D2C7E5F" w:rsidR="4626FA34">
              <w:rPr>
                <w:sz w:val="22"/>
                <w:szCs w:val="22"/>
              </w:rPr>
              <w:t>over two half days</w:t>
            </w:r>
            <w:r w:rsidRPr="3D2C7E5F" w:rsidR="03FEFA42">
              <w:rPr>
                <w:sz w:val="22"/>
                <w:szCs w:val="22"/>
              </w:rPr>
              <w:t xml:space="preserve"> </w:t>
            </w:r>
            <w:r w:rsidRPr="3D2C7E5F" w:rsidR="15E238F7">
              <w:rPr>
                <w:i w:val="1"/>
                <w:iCs w:val="1"/>
                <w:color w:val="auto"/>
                <w:sz w:val="22"/>
                <w:szCs w:val="22"/>
              </w:rPr>
              <w:t>(approximately 8 hours)</w:t>
            </w:r>
            <w:r w:rsidRPr="3D2C7E5F" w:rsidR="6E40CABD">
              <w:rPr>
                <w:i w:val="1"/>
                <w:iCs w:val="1"/>
                <w:color w:val="auto"/>
                <w:sz w:val="22"/>
                <w:szCs w:val="22"/>
              </w:rPr>
              <w:t>. It</w:t>
            </w:r>
            <w:r w:rsidRPr="3D2C7E5F" w:rsidR="15E238F7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3D2C7E5F" w:rsidR="03FEFA42">
              <w:rPr>
                <w:sz w:val="22"/>
                <w:szCs w:val="22"/>
              </w:rPr>
              <w:t>will d</w:t>
            </w:r>
            <w:r w:rsidRPr="3D2C7E5F" w:rsidR="1BEB2820">
              <w:rPr>
                <w:sz w:val="22"/>
                <w:szCs w:val="22"/>
              </w:rPr>
              <w:t xml:space="preserve">iscuss the following: </w:t>
            </w:r>
          </w:p>
          <w:p w:rsidRPr="00C30088" w:rsidR="000B2A56" w:rsidP="3D2C7E5F" w:rsidRDefault="00384016" w14:paraId="1ACFBF88" w14:textId="0BA7FD64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2"/>
                <w:szCs w:val="22"/>
              </w:rPr>
            </w:pPr>
            <w:r w:rsidRPr="3D2C7E5F" w:rsidR="66B5F685">
              <w:rPr>
                <w:sz w:val="22"/>
                <w:szCs w:val="22"/>
              </w:rPr>
              <w:t>F</w:t>
            </w:r>
            <w:r w:rsidRPr="3D2C7E5F" w:rsidR="03FEFA42">
              <w:rPr>
                <w:sz w:val="22"/>
                <w:szCs w:val="22"/>
              </w:rPr>
              <w:t>actors that contribute to perinatal disparities based on a social justice framework</w:t>
            </w:r>
            <w:r w:rsidRPr="3D2C7E5F" w:rsidR="7FE84112">
              <w:rPr>
                <w:sz w:val="22"/>
                <w:szCs w:val="22"/>
              </w:rPr>
              <w:t xml:space="preserve"> </w:t>
            </w:r>
          </w:p>
          <w:p w:rsidRPr="00C30088" w:rsidR="000B2A56" w:rsidP="3D2C7E5F" w:rsidRDefault="00384016" w14:paraId="041A1DF3" w14:textId="3F344B66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2"/>
                <w:szCs w:val="22"/>
              </w:rPr>
            </w:pPr>
            <w:r w:rsidRPr="3D2C7E5F" w:rsidR="7FE84112">
              <w:rPr>
                <w:sz w:val="22"/>
                <w:szCs w:val="22"/>
              </w:rPr>
              <w:t>O</w:t>
            </w:r>
            <w:r w:rsidRPr="3D2C7E5F" w:rsidR="03FEFA42">
              <w:rPr>
                <w:sz w:val="22"/>
                <w:szCs w:val="22"/>
              </w:rPr>
              <w:t xml:space="preserve">utline </w:t>
            </w:r>
            <w:r w:rsidRPr="3D2C7E5F" w:rsidR="03FEFA42">
              <w:rPr>
                <w:sz w:val="22"/>
                <w:szCs w:val="22"/>
              </w:rPr>
              <w:t>QI</w:t>
            </w:r>
            <w:r w:rsidRPr="3D2C7E5F" w:rsidR="03FEFA42">
              <w:rPr>
                <w:sz w:val="22"/>
                <w:szCs w:val="22"/>
              </w:rPr>
              <w:t xml:space="preserve"> strategies and tactics for</w:t>
            </w:r>
            <w:r w:rsidRPr="3D2C7E5F" w:rsidR="03FEFA42">
              <w:rPr>
                <w:sz w:val="22"/>
                <w:szCs w:val="22"/>
              </w:rPr>
              <w:t xml:space="preserve"> </w:t>
            </w:r>
            <w:r w:rsidRPr="3D2C7E5F" w:rsidR="03FEFA42">
              <w:rPr>
                <w:sz w:val="22"/>
                <w:szCs w:val="22"/>
              </w:rPr>
              <w:t>eliminatin</w:t>
            </w:r>
            <w:r w:rsidRPr="3D2C7E5F" w:rsidR="03FEFA42">
              <w:rPr>
                <w:sz w:val="22"/>
                <w:szCs w:val="22"/>
              </w:rPr>
              <w:t>g</w:t>
            </w:r>
            <w:r w:rsidRPr="3D2C7E5F" w:rsidR="03FEFA42">
              <w:rPr>
                <w:sz w:val="22"/>
                <w:szCs w:val="22"/>
              </w:rPr>
              <w:t xml:space="preserve"> implicit and explicit bias when caring for </w:t>
            </w:r>
            <w:r w:rsidRPr="3D2C7E5F" w:rsidR="03FEFA42">
              <w:rPr>
                <w:sz w:val="22"/>
                <w:szCs w:val="22"/>
              </w:rPr>
              <w:t>birthing persons</w:t>
            </w:r>
            <w:r w:rsidRPr="3D2C7E5F" w:rsidR="03FEFA42">
              <w:rPr>
                <w:sz w:val="22"/>
                <w:szCs w:val="22"/>
              </w:rPr>
              <w:t xml:space="preserve"> before, during, and after pregnancy and </w:t>
            </w:r>
            <w:r w:rsidRPr="3D2C7E5F" w:rsidR="03FEFA42">
              <w:rPr>
                <w:sz w:val="22"/>
                <w:szCs w:val="22"/>
              </w:rPr>
              <w:t>when caring for newborns</w:t>
            </w:r>
          </w:p>
          <w:p w:rsidRPr="00C30088" w:rsidR="000B2A56" w:rsidP="3D2C7E5F" w:rsidRDefault="00384016" w14:paraId="37124C41" w14:textId="693A0488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2"/>
                <w:szCs w:val="22"/>
              </w:rPr>
            </w:pPr>
            <w:r w:rsidRPr="3D2C7E5F" w:rsidR="1E99BD18">
              <w:rPr>
                <w:sz w:val="22"/>
                <w:szCs w:val="22"/>
              </w:rPr>
              <w:t xml:space="preserve">Developing </w:t>
            </w:r>
            <w:r w:rsidRPr="3D2C7E5F" w:rsidR="03FEFA42">
              <w:rPr>
                <w:sz w:val="22"/>
                <w:szCs w:val="22"/>
              </w:rPr>
              <w:t xml:space="preserve">a </w:t>
            </w:r>
            <w:r w:rsidRPr="3D2C7E5F" w:rsidR="03FEFA42">
              <w:rPr>
                <w:sz w:val="22"/>
                <w:szCs w:val="22"/>
              </w:rPr>
              <w:t>QI</w:t>
            </w:r>
            <w:r w:rsidRPr="3D2C7E5F" w:rsidR="03FEFA42">
              <w:rPr>
                <w:sz w:val="22"/>
                <w:szCs w:val="22"/>
              </w:rPr>
              <w:t xml:space="preserve"> </w:t>
            </w:r>
            <w:r w:rsidRPr="3D2C7E5F" w:rsidR="67B3A98A">
              <w:rPr>
                <w:sz w:val="22"/>
                <w:szCs w:val="22"/>
              </w:rPr>
              <w:t>A</w:t>
            </w:r>
            <w:r w:rsidRPr="3D2C7E5F" w:rsidR="03FEFA42">
              <w:rPr>
                <w:sz w:val="22"/>
                <w:szCs w:val="22"/>
              </w:rPr>
              <w:t xml:space="preserve">ction </w:t>
            </w:r>
            <w:r w:rsidRPr="3D2C7E5F" w:rsidR="28393EC2">
              <w:rPr>
                <w:sz w:val="22"/>
                <w:szCs w:val="22"/>
              </w:rPr>
              <w:t>P</w:t>
            </w:r>
            <w:r w:rsidRPr="3D2C7E5F" w:rsidR="03FEFA42">
              <w:rPr>
                <w:sz w:val="22"/>
                <w:szCs w:val="22"/>
              </w:rPr>
              <w:t>lan for ensuring equity in perinatal outcomes.</w:t>
            </w:r>
            <w:r w:rsidRPr="3D2C7E5F" w:rsidR="360B4D95">
              <w:rPr>
                <w:sz w:val="22"/>
                <w:szCs w:val="22"/>
              </w:rPr>
              <w:t xml:space="preserve"> </w:t>
            </w:r>
          </w:p>
          <w:p w:rsidRPr="00C30088" w:rsidR="000B2A56" w:rsidP="3D2C7E5F" w:rsidRDefault="00384016" w14:paraId="2E42FDFB" w14:textId="7F8D840B">
            <w:pPr>
              <w:pStyle w:val="Normal"/>
              <w:rPr>
                <w:sz w:val="22"/>
                <w:szCs w:val="22"/>
              </w:rPr>
            </w:pPr>
          </w:p>
          <w:p w:rsidRPr="00C30088" w:rsidR="000B2A56" w:rsidP="3D2C7E5F" w:rsidRDefault="00384016" w14:paraId="27CCF779" w14:textId="536F8E26">
            <w:pPr>
              <w:pStyle w:val="Normal"/>
              <w:rPr>
                <w:sz w:val="22"/>
                <w:szCs w:val="22"/>
              </w:rPr>
            </w:pPr>
            <w:r w:rsidRPr="3D2C7E5F" w:rsidR="360B4D95">
              <w:rPr>
                <w:sz w:val="22"/>
                <w:szCs w:val="22"/>
              </w:rPr>
              <w:t xml:space="preserve">Team member to take </w:t>
            </w:r>
            <w:r w:rsidRPr="3D2C7E5F" w:rsidR="1A836B81">
              <w:rPr>
                <w:sz w:val="22"/>
                <w:szCs w:val="22"/>
              </w:rPr>
              <w:t>the lead</w:t>
            </w:r>
            <w:r w:rsidRPr="3D2C7E5F" w:rsidR="360B4D95">
              <w:rPr>
                <w:sz w:val="22"/>
                <w:szCs w:val="22"/>
              </w:rPr>
              <w:t xml:space="preserve"> for step 3</w:t>
            </w:r>
            <w:r w:rsidRPr="3D2C7E5F" w:rsidR="249A0326">
              <w:rPr>
                <w:sz w:val="22"/>
                <w:szCs w:val="22"/>
              </w:rPr>
              <w:t>.</w:t>
            </w:r>
          </w:p>
        </w:tc>
      </w:tr>
      <w:tr w:rsidR="3D2C7E5F" w:rsidTr="3D2C7E5F" w14:paraId="63906C42">
        <w:trPr>
          <w:trHeight w:val="378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="23900273" w:rsidP="3D2C7E5F" w:rsidRDefault="23900273" w14:paraId="08803B80" w14:textId="72829738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D2C7E5F" w:rsidR="23900273">
              <w:rPr>
                <w:b w:val="1"/>
                <w:bCs w:val="1"/>
                <w:sz w:val="24"/>
                <w:szCs w:val="24"/>
              </w:rPr>
              <w:t xml:space="preserve">Step 3: </w:t>
            </w:r>
            <w:r w:rsidRPr="3D2C7E5F" w:rsidR="19ECDE7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Tools for hospitals to </w:t>
            </w:r>
            <w:r w:rsidRPr="3D2C7E5F" w:rsidR="19ECDE7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facilitate</w:t>
            </w:r>
            <w:r w:rsidRPr="3D2C7E5F" w:rsidR="19ECDE7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li</w:t>
            </w:r>
            <w:r w:rsidRPr="3D2C7E5F" w:rsidR="239002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ve, in-person discussions </w:t>
            </w:r>
          </w:p>
        </w:tc>
      </w:tr>
      <w:tr w:rsidR="3D2C7E5F" w:rsidTr="3D2C7E5F" w14:paraId="644BC8C0">
        <w:trPr>
          <w:trHeight w:val="30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="570AD8C6" w:rsidP="3D2C7E5F" w:rsidRDefault="570AD8C6" w14:paraId="0BD17C6C" w14:textId="2F324922">
            <w:pPr>
              <w:pStyle w:val="Normal"/>
              <w:spacing w:line="259" w:lineRule="auto"/>
              <w:rPr>
                <w:b w:val="1"/>
                <w:bCs w:val="1"/>
                <w:sz w:val="22"/>
                <w:szCs w:val="22"/>
              </w:rPr>
            </w:pPr>
            <w:r w:rsidRPr="3D2C7E5F" w:rsidR="570AD8C6">
              <w:rPr>
                <w:b w:val="1"/>
                <w:bCs w:val="1"/>
                <w:sz w:val="22"/>
                <w:szCs w:val="22"/>
              </w:rPr>
              <w:t>Research Publications</w:t>
            </w:r>
            <w:r w:rsidRPr="3D2C7E5F" w:rsidR="29DABDDE">
              <w:rPr>
                <w:b w:val="1"/>
                <w:bCs w:val="1"/>
                <w:sz w:val="22"/>
                <w:szCs w:val="22"/>
              </w:rPr>
              <w:t xml:space="preserve"> on Hospital-Implemented Practices</w:t>
            </w:r>
            <w:r w:rsidRPr="3D2C7E5F" w:rsidR="043BB1B1">
              <w:rPr>
                <w:b w:val="1"/>
                <w:bCs w:val="1"/>
                <w:sz w:val="22"/>
                <w:szCs w:val="22"/>
              </w:rPr>
              <w:t xml:space="preserve"> with Tools</w:t>
            </w:r>
            <w:r w:rsidRPr="3D2C7E5F" w:rsidR="491B5C60">
              <w:rPr>
                <w:b w:val="1"/>
                <w:bCs w:val="1"/>
                <w:sz w:val="22"/>
                <w:szCs w:val="22"/>
              </w:rPr>
              <w:t xml:space="preserve"> for Adaptation</w:t>
            </w:r>
          </w:p>
        </w:tc>
      </w:tr>
      <w:tr w:rsidR="3D2C7E5F" w:rsidTr="3D2C7E5F" w14:paraId="331A18A6">
        <w:trPr>
          <w:trHeight w:val="405"/>
        </w:trPr>
        <w:tc>
          <w:tcPr>
            <w:tcW w:w="3610" w:type="dxa"/>
            <w:gridSpan w:val="2"/>
            <w:tcMar/>
          </w:tcPr>
          <w:p w:rsidR="3C4B381A" w:rsidP="3D2C7E5F" w:rsidRDefault="3C4B381A" w14:paraId="41EFC27B" w14:textId="3497EA05">
            <w:pPr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hyperlink r:id="R97ea23217b5f47c8">
              <w:r w:rsidRPr="3D2C7E5F" w:rsidR="3C4B381A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en-US"/>
                </w:rPr>
                <w:t>Health Equity Rounds: An Interdisciplinary Case Conference to Address Implicit Bias and Structural Racism for Faculty and Trainees</w:t>
              </w:r>
            </w:hyperlink>
          </w:p>
          <w:p w:rsidR="3D2C7E5F" w:rsidP="3D2C7E5F" w:rsidRDefault="3D2C7E5F" w14:paraId="463EF243" w14:textId="08763EF5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EF16A30" w:rsidP="3D2C7E5F" w:rsidRDefault="3EF16A30" w14:paraId="0E1B076E" w14:textId="7832334E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D2C7E5F" w:rsidR="3EF16A30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>Focus</w:t>
            </w:r>
            <w:r w:rsidRPr="3D2C7E5F" w:rsidR="6E36B56B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>:</w:t>
            </w:r>
            <w:r w:rsidRPr="3D2C7E5F" w:rsidR="062196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D2C7E5F" w:rsidR="60B5E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Case-Based Discussion,</w:t>
            </w:r>
            <w:r w:rsidRPr="3D2C7E5F" w:rsidR="2C29AF7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Mitigation of Implicit Bias</w:t>
            </w:r>
            <w:r w:rsidRPr="3D2C7E5F" w:rsidR="60B5E79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D2C7E5F" w:rsidP="3D2C7E5F" w:rsidRDefault="3D2C7E5F" w14:paraId="2F34CD4C" w14:textId="21D5E963">
            <w:pPr>
              <w:pStyle w:val="Normal"/>
              <w:spacing w:line="259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tcMar/>
          </w:tcPr>
          <w:p w:rsidR="3D2C7E5F" w:rsidP="3D2C7E5F" w:rsidRDefault="3D2C7E5F" w14:paraId="5136FFA5" w14:textId="0720E4F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95" w:type="dxa"/>
            <w:tcMar/>
          </w:tcPr>
          <w:p w:rsidR="0977D799" w:rsidP="3D2C7E5F" w:rsidRDefault="0977D799" w14:paraId="3BCE9053" w14:textId="6F7AB72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D2C7E5F" w:rsidR="0977D799">
              <w:rPr>
                <w:b w:val="1"/>
                <w:bCs w:val="1"/>
                <w:sz w:val="22"/>
                <w:szCs w:val="22"/>
              </w:rPr>
              <w:t xml:space="preserve">Practice </w:t>
            </w:r>
            <w:r w:rsidRPr="3D2C7E5F" w:rsidR="015F3228">
              <w:rPr>
                <w:b w:val="1"/>
                <w:bCs w:val="1"/>
                <w:sz w:val="22"/>
                <w:szCs w:val="22"/>
              </w:rPr>
              <w:t xml:space="preserve">Overview: </w:t>
            </w:r>
            <w:r w:rsidRPr="3D2C7E5F" w:rsidR="015F3228">
              <w:rPr>
                <w:b w:val="0"/>
                <w:bCs w:val="0"/>
                <w:sz w:val="22"/>
                <w:szCs w:val="22"/>
              </w:rPr>
              <w:t xml:space="preserve">Faculty </w:t>
            </w:r>
            <w:r w:rsidRPr="3D2C7E5F" w:rsidR="015F32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developed a longitudinal case conference curriculum called </w:t>
            </w:r>
            <w:r w:rsidRPr="3D2C7E5F" w:rsidR="015F32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Health Equity Rounds (HER)</w:t>
            </w:r>
            <w:r w:rsidRPr="3D2C7E5F" w:rsidR="015F322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to discuss and address the impact of structural racism and implicit bias on patient care.</w:t>
            </w:r>
            <w:r w:rsidRPr="3D2C7E5F" w:rsidR="17070B4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6F533FF9" w:rsidP="3D2C7E5F" w:rsidRDefault="6F533FF9" w14:paraId="2A564539" w14:textId="0A455BD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6F533FF9">
              <w:rPr>
                <w:b w:val="1"/>
                <w:bCs w:val="1"/>
                <w:sz w:val="22"/>
                <w:szCs w:val="22"/>
              </w:rPr>
              <w:t>Resources Included</w:t>
            </w:r>
            <w:r w:rsidRPr="3D2C7E5F" w:rsidR="32548473">
              <w:rPr>
                <w:b w:val="1"/>
                <w:bCs w:val="1"/>
                <w:sz w:val="22"/>
                <w:szCs w:val="22"/>
              </w:rPr>
              <w:t>:</w:t>
            </w:r>
            <w:r w:rsidRPr="3D2C7E5F" w:rsidR="61CE29C7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  <w:p w:rsidR="3BD3C224" w:rsidP="3D2C7E5F" w:rsidRDefault="3BD3C224" w14:paraId="136BE678" w14:textId="0FC4C290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59" w:lineRule="auto"/>
              <w:ind w:left="504" w:right="0" w:hanging="360"/>
              <w:jc w:val="left"/>
              <w:rPr>
                <w:b w:val="0"/>
                <w:bCs w:val="0"/>
                <w:sz w:val="22"/>
                <w:szCs w:val="22"/>
              </w:rPr>
            </w:pPr>
            <w:r w:rsidRPr="3D2C7E5F" w:rsidR="3BD3C224">
              <w:rPr>
                <w:b w:val="0"/>
                <w:bCs w:val="0"/>
                <w:sz w:val="22"/>
                <w:szCs w:val="22"/>
              </w:rPr>
              <w:t>Guide to Creating a Health Equity Rounds (HER) Conference</w:t>
            </w:r>
          </w:p>
          <w:p w:rsidR="6367DA5D" w:rsidP="3D2C7E5F" w:rsidRDefault="6367DA5D" w14:paraId="0A113C83" w14:textId="7D9513F6">
            <w:pPr>
              <w:pStyle w:val="ListParagraph"/>
              <w:numPr>
                <w:ilvl w:val="0"/>
                <w:numId w:val="4"/>
              </w:numPr>
              <w:ind w:left="504"/>
              <w:rPr>
                <w:b w:val="0"/>
                <w:bCs w:val="0"/>
                <w:sz w:val="22"/>
                <w:szCs w:val="22"/>
              </w:rPr>
            </w:pPr>
            <w:r w:rsidRPr="3D2C7E5F" w:rsidR="6367DA5D">
              <w:rPr>
                <w:b w:val="0"/>
                <w:bCs w:val="0"/>
                <w:sz w:val="22"/>
                <w:szCs w:val="22"/>
              </w:rPr>
              <w:t>Evaluation Template of Health Equity Rounds</w:t>
            </w:r>
          </w:p>
          <w:p w:rsidR="356D2BC0" w:rsidP="3D2C7E5F" w:rsidRDefault="356D2BC0" w14:paraId="6220B573" w14:textId="6B71B211">
            <w:pPr>
              <w:pStyle w:val="ListParagraph"/>
              <w:numPr>
                <w:ilvl w:val="0"/>
                <w:numId w:val="4"/>
              </w:numPr>
              <w:ind w:left="504"/>
              <w:rPr>
                <w:b w:val="0"/>
                <w:bCs w:val="0"/>
                <w:sz w:val="22"/>
                <w:szCs w:val="22"/>
              </w:rPr>
            </w:pPr>
            <w:r w:rsidRPr="3D2C7E5F" w:rsidR="356D2BC0">
              <w:rPr>
                <w:b w:val="0"/>
                <w:bCs w:val="0"/>
                <w:sz w:val="22"/>
                <w:szCs w:val="22"/>
              </w:rPr>
              <w:t>Template</w:t>
            </w:r>
            <w:r w:rsidRPr="3D2C7E5F" w:rsidR="5C7FFD3B">
              <w:rPr>
                <w:b w:val="0"/>
                <w:bCs w:val="0"/>
                <w:sz w:val="22"/>
                <w:szCs w:val="22"/>
              </w:rPr>
              <w:t xml:space="preserve"> Activity Worksheets and Handouts</w:t>
            </w:r>
          </w:p>
        </w:tc>
      </w:tr>
      <w:tr w:rsidR="3D2C7E5F" w:rsidTr="3D2C7E5F" w14:paraId="2DCA0E59">
        <w:trPr>
          <w:trHeight w:val="405"/>
        </w:trPr>
        <w:tc>
          <w:tcPr>
            <w:tcW w:w="3610" w:type="dxa"/>
            <w:gridSpan w:val="2"/>
            <w:tcMar/>
          </w:tcPr>
          <w:p w:rsidR="7A4F0D89" w:rsidP="3D2C7E5F" w:rsidRDefault="7A4F0D89" w14:paraId="1E3ABBCF" w14:textId="09CAE4D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f6e9b486918d41cd">
              <w:r w:rsidRPr="3D2C7E5F" w:rsidR="7A4F0D89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en-US"/>
                </w:rPr>
                <w:t>Addressing implicit bias and health disparities in a level IV NICU</w:t>
              </w:r>
            </w:hyperlink>
            <w:r w:rsidRPr="3D2C7E5F" w:rsidR="71ED733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D2C7E5F" w:rsidP="3D2C7E5F" w:rsidRDefault="3D2C7E5F" w14:paraId="28620F7C" w14:textId="5AC1564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  <w:p w:rsidR="6E212616" w:rsidP="3D2C7E5F" w:rsidRDefault="6E212616" w14:paraId="417CA420" w14:textId="42BA21DC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D2C7E5F" w:rsidR="6E212616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Focus: </w:t>
            </w:r>
            <w:r w:rsidRPr="3D2C7E5F" w:rsidR="3147BB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NICU Implicit Bias</w:t>
            </w:r>
          </w:p>
        </w:tc>
        <w:tc>
          <w:tcPr>
            <w:tcW w:w="1200" w:type="dxa"/>
            <w:tcMar/>
          </w:tcPr>
          <w:p w:rsidR="3D2C7E5F" w:rsidP="3D2C7E5F" w:rsidRDefault="3D2C7E5F" w14:paraId="726A809A" w14:textId="61DD482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95" w:type="dxa"/>
            <w:tcMar/>
          </w:tcPr>
          <w:p w:rsidR="739C17E9" w:rsidP="3D2C7E5F" w:rsidRDefault="739C17E9" w14:paraId="44482E11" w14:textId="41C4EB5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D2C7E5F" w:rsidR="739C17E9">
              <w:rPr>
                <w:b w:val="1"/>
                <w:bCs w:val="1"/>
                <w:sz w:val="22"/>
                <w:szCs w:val="22"/>
              </w:rPr>
              <w:t xml:space="preserve">Practice Overview: </w:t>
            </w:r>
            <w:r w:rsidRPr="3D2C7E5F" w:rsidR="1A2C0993">
              <w:rPr>
                <w:b w:val="0"/>
                <w:bCs w:val="0"/>
                <w:sz w:val="22"/>
                <w:szCs w:val="22"/>
              </w:rPr>
              <w:t>D</w:t>
            </w:r>
            <w:r w:rsidRPr="3D2C7E5F" w:rsidR="1A2C09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esign and implement small group workshops to </w:t>
            </w:r>
            <w:r w:rsidRPr="3D2C7E5F" w:rsidR="1A2C09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provide</w:t>
            </w:r>
            <w:r w:rsidRPr="3D2C7E5F" w:rsidR="1A2C09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experiential learning through role-play to highlight examples of implicit bias in the NICU.</w:t>
            </w:r>
          </w:p>
          <w:p w:rsidR="3D2C7E5F" w:rsidP="3D2C7E5F" w:rsidRDefault="3D2C7E5F" w14:paraId="5C4F5889" w14:textId="2330609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7A4F0D89" w:rsidP="3D2C7E5F" w:rsidRDefault="7A4F0D89" w14:paraId="00A8F164" w14:textId="3CB4E05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7A4F0D89">
              <w:rPr>
                <w:b w:val="1"/>
                <w:bCs w:val="1"/>
                <w:sz w:val="22"/>
                <w:szCs w:val="22"/>
              </w:rPr>
              <w:t>Resources Included:</w:t>
            </w:r>
            <w:r w:rsidRPr="3D2C7E5F" w:rsidR="0AEBD677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  <w:p w:rsidR="2F91D03A" w:rsidP="3D2C7E5F" w:rsidRDefault="2F91D03A" w14:paraId="70763651" w14:textId="4DFEE82A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  <w:sz w:val="22"/>
                <w:szCs w:val="22"/>
              </w:rPr>
            </w:pPr>
            <w:r w:rsidRPr="3D2C7E5F" w:rsidR="2F91D03A">
              <w:rPr>
                <w:b w:val="0"/>
                <w:bCs w:val="0"/>
                <w:sz w:val="22"/>
                <w:szCs w:val="22"/>
              </w:rPr>
              <w:t xml:space="preserve">Pre/Post Survey </w:t>
            </w:r>
          </w:p>
        </w:tc>
      </w:tr>
      <w:tr w:rsidR="000B2A56" w:rsidTr="3D2C7E5F" w14:paraId="08E19E91" w14:textId="77777777">
        <w:trPr>
          <w:trHeight w:val="30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Pr="009C68C3" w:rsidR="000B2A56" w:rsidP="3D2C7E5F" w:rsidRDefault="000B2A56" w14:paraId="16FD2784" w14:textId="05832F4C">
            <w:pPr>
              <w:rPr>
                <w:b w:val="1"/>
                <w:bCs w:val="1"/>
                <w:sz w:val="22"/>
                <w:szCs w:val="22"/>
              </w:rPr>
            </w:pPr>
            <w:r w:rsidRPr="3D2C7E5F" w:rsidR="6B49F5DD">
              <w:rPr>
                <w:b w:val="1"/>
                <w:bCs w:val="1"/>
                <w:sz w:val="22"/>
                <w:szCs w:val="22"/>
              </w:rPr>
              <w:t>Patient Stories</w:t>
            </w:r>
          </w:p>
        </w:tc>
      </w:tr>
      <w:tr w:rsidR="000B2A56" w:rsidTr="3D2C7E5F" w14:paraId="27513F89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0B2A56" w:rsidR="000B2A56" w:rsidP="000B2A56" w:rsidRDefault="000B2A56" w14:paraId="7E1000B8" w14:textId="6C1771AC">
            <w:pPr>
              <w:rPr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 xml:space="preserve">I-PROMOTE </w:t>
            </w:r>
            <w:hyperlink w:history="1" r:id="rId13">
              <w:r w:rsidRPr="000B2A56">
                <w:rPr>
                  <w:rStyle w:val="Hyperlink"/>
                  <w:sz w:val="22"/>
                  <w:szCs w:val="22"/>
                </w:rPr>
                <w:t>The Illinois Maternal Health Digital Storytelling Project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0B2A56" w:rsidR="000B2A56" w:rsidP="000B2A56" w:rsidRDefault="000B2A56" w14:paraId="46F88675" w14:textId="746BCADB">
            <w:pPr>
              <w:rPr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0B2A56" w:rsidR="000B2A56" w:rsidP="000B2A56" w:rsidRDefault="000B2A56" w14:paraId="474B1AD5" w14:textId="6F363860">
            <w:pPr>
              <w:rPr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>A collection of perspectives from Illinois birthing persons on experiences of complications and challenges during pregnancy and in the postpartum period through the creation of digital stories.</w:t>
            </w:r>
          </w:p>
        </w:tc>
      </w:tr>
      <w:tr w:rsidR="000B2A56" w:rsidTr="3D2C7E5F" w14:paraId="0C803677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0B2A56" w:rsidR="000B2A56" w:rsidP="000B2A56" w:rsidRDefault="000B2A56" w14:paraId="45AD29B5" w14:textId="1F2A940C">
            <w:pPr>
              <w:rPr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 xml:space="preserve">CDC </w:t>
            </w:r>
            <w:hyperlink w:history="1" r:id="rId14">
              <w:r w:rsidRPr="000B2A56">
                <w:rPr>
                  <w:rStyle w:val="Hyperlink"/>
                  <w:sz w:val="22"/>
                  <w:szCs w:val="22"/>
                </w:rPr>
                <w:t>HEAR HER Campaign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0B2A56" w:rsidR="000B2A56" w:rsidP="000B2A56" w:rsidRDefault="000B2A56" w14:paraId="1F25D634" w14:textId="74F2BC31">
            <w:pPr>
              <w:rPr>
                <w:b/>
                <w:bCs/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0B2A56" w:rsidR="000B2A56" w:rsidP="000B2A56" w:rsidRDefault="000B2A56" w14:paraId="09974D61" w14:textId="57F4AB7F">
            <w:pPr>
              <w:rPr>
                <w:sz w:val="22"/>
                <w:szCs w:val="22"/>
              </w:rPr>
            </w:pPr>
            <w:r w:rsidRPr="000B2A56">
              <w:rPr>
                <w:sz w:val="22"/>
                <w:szCs w:val="22"/>
              </w:rPr>
              <w:t>The Hear Her campaign features compelling stories from women about their experiences during or after pregnancy. They share how pregnancy-related complications or conditions have affected them and how they got help.</w:t>
            </w:r>
          </w:p>
        </w:tc>
      </w:tr>
      <w:tr w:rsidR="000B2A56" w:rsidTr="3D2C7E5F" w14:paraId="436FF777" w14:textId="77777777">
        <w:trPr>
          <w:trHeight w:val="33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</w:tcPr>
          <w:p w:rsidRPr="009C68C3" w:rsidR="000B2A56" w:rsidP="3D2C7E5F" w:rsidRDefault="00C30088" w14:paraId="2DB63DDC" w14:textId="2682F28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D2C7E5F" w:rsidR="03DF54A8">
              <w:rPr>
                <w:b w:val="1"/>
                <w:bCs w:val="1"/>
                <w:sz w:val="22"/>
                <w:szCs w:val="22"/>
              </w:rPr>
              <w:t>Films</w:t>
            </w:r>
          </w:p>
        </w:tc>
      </w:tr>
      <w:tr w:rsidR="000B2A56" w:rsidTr="3D2C7E5F" w14:paraId="0A24CFA7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C30088" w:rsidR="000B2A56" w:rsidP="3D2C7E5F" w:rsidRDefault="00000000" w14:paraId="1B9C77A7" w14:textId="69376408">
            <w:pPr>
              <w:rPr>
                <w:sz w:val="22"/>
                <w:szCs w:val="22"/>
              </w:rPr>
            </w:pPr>
            <w:hyperlink r:id="R6a22d0472c8f4b1e">
              <w:r w:rsidRPr="3D2C7E5F" w:rsidR="4626FA34">
                <w:rPr>
                  <w:rStyle w:val="Hyperlink"/>
                  <w:sz w:val="22"/>
                  <w:szCs w:val="22"/>
                </w:rPr>
                <w:t>Toxic</w:t>
              </w:r>
              <w:r w:rsidRPr="3D2C7E5F" w:rsidR="2FEBEF95">
                <w:rPr>
                  <w:rStyle w:val="Hyperlink"/>
                  <w:sz w:val="22"/>
                  <w:szCs w:val="22"/>
                </w:rPr>
                <w:t xml:space="preserve">: </w:t>
              </w:r>
              <w:r w:rsidRPr="3D2C7E5F" w:rsidR="4626FA34">
                <w:rPr>
                  <w:rStyle w:val="Hyperlink"/>
                  <w:sz w:val="22"/>
                  <w:szCs w:val="22"/>
                </w:rPr>
                <w:t>A Black Woman’s Story</w:t>
              </w:r>
            </w:hyperlink>
            <w:r w:rsidRPr="3D2C7E5F" w:rsidR="7C411751">
              <w:rPr>
                <w:sz w:val="22"/>
                <w:szCs w:val="22"/>
              </w:rPr>
              <w:t xml:space="preserve"> </w:t>
            </w:r>
          </w:p>
          <w:p w:rsidRPr="00C30088" w:rsidR="000B2A56" w:rsidP="3D2C7E5F" w:rsidRDefault="00000000" w14:paraId="31FC6897" w14:textId="7AF83E00">
            <w:pPr>
              <w:pStyle w:val="Normal"/>
              <w:rPr>
                <w:sz w:val="22"/>
                <w:szCs w:val="22"/>
              </w:rPr>
            </w:pPr>
          </w:p>
          <w:p w:rsidRPr="00C30088" w:rsidR="000B2A56" w:rsidP="3D2C7E5F" w:rsidRDefault="00000000" w14:paraId="674533CA" w14:textId="65E829C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7C411751">
              <w:rPr>
                <w:b w:val="1"/>
                <w:bCs w:val="1"/>
                <w:sz w:val="22"/>
                <w:szCs w:val="22"/>
              </w:rPr>
              <w:t>Price Varies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C30088" w:rsidR="000B2A56" w:rsidP="00C30088" w:rsidRDefault="00C30088" w14:paraId="64E0B07C" w14:textId="29F3A0F0">
            <w:pPr>
              <w:rPr>
                <w:sz w:val="22"/>
                <w:szCs w:val="22"/>
              </w:rPr>
            </w:pPr>
            <w:r w:rsidRPr="00C30088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C30088" w:rsidR="000B2A56" w:rsidP="3D2C7E5F" w:rsidRDefault="00C30088" w14:paraId="5A96B8DC" w14:textId="6CEFB16B">
            <w:pPr>
              <w:rPr>
                <w:sz w:val="22"/>
                <w:szCs w:val="22"/>
              </w:rPr>
            </w:pPr>
            <w:r w:rsidRPr="3D2C7E5F" w:rsidR="4626FA34">
              <w:rPr>
                <w:sz w:val="22"/>
                <w:szCs w:val="22"/>
              </w:rPr>
              <w:t xml:space="preserve">This </w:t>
            </w:r>
            <w:r w:rsidRPr="3D2C7E5F" w:rsidR="1D3C5E8B">
              <w:rPr>
                <w:sz w:val="22"/>
                <w:szCs w:val="22"/>
              </w:rPr>
              <w:t>film examines</w:t>
            </w:r>
            <w:r w:rsidRPr="3D2C7E5F" w:rsidR="4626FA34">
              <w:rPr>
                <w:sz w:val="22"/>
                <w:szCs w:val="22"/>
              </w:rPr>
              <w:t xml:space="preserve"> how race, toxic stress, and birth outcomes are intertwined. </w:t>
            </w:r>
          </w:p>
          <w:p w:rsidRPr="00C30088" w:rsidR="000B2A56" w:rsidP="00C30088" w:rsidRDefault="00C30088" w14:paraId="1ADF78AA" w14:textId="54135BC3">
            <w:pPr>
              <w:rPr>
                <w:sz w:val="22"/>
                <w:szCs w:val="22"/>
              </w:rPr>
            </w:pPr>
            <w:r w:rsidRPr="3D2C7E5F" w:rsidR="4626FA34">
              <w:rPr>
                <w:i w:val="1"/>
                <w:iCs w:val="1"/>
                <w:sz w:val="22"/>
                <w:szCs w:val="22"/>
              </w:rPr>
              <w:t>Avail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>able t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 xml:space="preserve">o 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>purcha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>se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 xml:space="preserve"> with accompanying discussion guide via instructions on the website.</w:t>
            </w:r>
          </w:p>
        </w:tc>
      </w:tr>
      <w:tr w:rsidR="000B2A56" w:rsidTr="3D2C7E5F" w14:paraId="5C8CF1B2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C30088" w:rsidR="00C30088" w:rsidP="3D2C7E5F" w:rsidRDefault="00000000" w14:paraId="748A96AD" w14:textId="208D6FF3">
            <w:pPr>
              <w:rPr>
                <w:sz w:val="22"/>
                <w:szCs w:val="22"/>
              </w:rPr>
            </w:pPr>
            <w:hyperlink r:id="R355a022184eb4c31">
              <w:r w:rsidRPr="3D2C7E5F" w:rsidR="4626FA34">
                <w:rPr>
                  <w:rStyle w:val="Hyperlink"/>
                  <w:sz w:val="22"/>
                  <w:szCs w:val="22"/>
                </w:rPr>
                <w:t>Laboring with Hope</w:t>
              </w:r>
            </w:hyperlink>
            <w:r w:rsidRPr="3D2C7E5F" w:rsidR="7BAFA29E">
              <w:rPr>
                <w:sz w:val="22"/>
                <w:szCs w:val="22"/>
              </w:rPr>
              <w:t xml:space="preserve"> </w:t>
            </w:r>
          </w:p>
          <w:p w:rsidRPr="00C30088" w:rsidR="00C30088" w:rsidP="3D2C7E5F" w:rsidRDefault="00000000" w14:paraId="53B146C5" w14:textId="76C0B02F">
            <w:pPr>
              <w:pStyle w:val="Normal"/>
              <w:rPr>
                <w:sz w:val="22"/>
                <w:szCs w:val="22"/>
              </w:rPr>
            </w:pPr>
          </w:p>
          <w:p w:rsidRPr="00C30088" w:rsidR="00C30088" w:rsidP="3D2C7E5F" w:rsidRDefault="00000000" w14:paraId="265033CA" w14:textId="0320DF8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D2C7E5F" w:rsidR="7BAFA29E">
              <w:rPr>
                <w:b w:val="1"/>
                <w:bCs w:val="1"/>
                <w:sz w:val="22"/>
                <w:szCs w:val="22"/>
              </w:rPr>
              <w:t>Price Varies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C30088" w:rsidR="000B2A56" w:rsidP="00C30088" w:rsidRDefault="00C30088" w14:paraId="6DDF81F4" w14:textId="0271ECC2">
            <w:pPr>
              <w:rPr>
                <w:sz w:val="22"/>
                <w:szCs w:val="22"/>
              </w:rPr>
            </w:pPr>
            <w:r w:rsidRPr="00C30088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C30088" w:rsidR="000B2A56" w:rsidP="3D2C7E5F" w:rsidRDefault="00C30088" w14:paraId="347F75F4" w14:textId="1B2F97DF">
            <w:pPr>
              <w:rPr>
                <w:sz w:val="22"/>
                <w:szCs w:val="22"/>
              </w:rPr>
            </w:pPr>
            <w:r w:rsidRPr="3D2C7E5F" w:rsidR="4626FA34">
              <w:rPr>
                <w:sz w:val="22"/>
                <w:szCs w:val="22"/>
              </w:rPr>
              <w:t xml:space="preserve">This short documentary is about loss, grief, and the hope for improving health outcomes for Black women. </w:t>
            </w:r>
          </w:p>
          <w:p w:rsidRPr="00C30088" w:rsidR="000B2A56" w:rsidP="3D2C7E5F" w:rsidRDefault="00C30088" w14:paraId="328968F9" w14:textId="1B1AA705">
            <w:pPr>
              <w:rPr>
                <w:i w:val="1"/>
                <w:iCs w:val="1"/>
                <w:sz w:val="22"/>
                <w:szCs w:val="22"/>
              </w:rPr>
            </w:pPr>
            <w:r w:rsidRPr="3D2C7E5F" w:rsidR="4626FA34">
              <w:rPr>
                <w:i w:val="1"/>
                <w:iCs w:val="1"/>
                <w:sz w:val="22"/>
                <w:szCs w:val="22"/>
              </w:rPr>
              <w:t xml:space="preserve">Available to 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>purchase</w:t>
            </w:r>
            <w:r w:rsidRPr="3D2C7E5F" w:rsidR="4626FA34">
              <w:rPr>
                <w:i w:val="1"/>
                <w:iCs w:val="1"/>
                <w:sz w:val="22"/>
                <w:szCs w:val="22"/>
              </w:rPr>
              <w:t xml:space="preserve"> with accompanying discussion guide via instructions on the website.</w:t>
            </w:r>
          </w:p>
        </w:tc>
      </w:tr>
      <w:tr w:rsidR="00C30088" w:rsidTr="3D2C7E5F" w14:paraId="158EE1A6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C30088" w:rsidR="00C30088" w:rsidP="00C30088" w:rsidRDefault="00000000" w14:paraId="4D566AAD" w14:textId="0A3A1F04">
            <w:pPr>
              <w:rPr>
                <w:sz w:val="22"/>
                <w:szCs w:val="22"/>
              </w:rPr>
            </w:pPr>
            <w:hyperlink r:id="rId17">
              <w:r w:rsidRPr="00C30088" w:rsidR="00C30088">
                <w:rPr>
                  <w:rStyle w:val="Hyperlink"/>
                  <w:sz w:val="22"/>
                  <w:szCs w:val="22"/>
                </w:rPr>
                <w:t>Aftershock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C30088" w:rsidR="00C30088" w:rsidP="00C30088" w:rsidRDefault="00C30088" w14:paraId="07475341" w14:textId="71D23A9F">
            <w:pPr>
              <w:rPr>
                <w:sz w:val="22"/>
                <w:szCs w:val="22"/>
              </w:rPr>
            </w:pPr>
            <w:r w:rsidRPr="00C30088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C30088" w:rsidR="00C30088" w:rsidP="3D2C7E5F" w:rsidRDefault="00C30088" w14:paraId="6C965CE5" w14:textId="37D23806">
            <w:pPr>
              <w:rPr>
                <w:sz w:val="22"/>
                <w:szCs w:val="22"/>
              </w:rPr>
            </w:pPr>
            <w:r w:rsidRPr="3D2C7E5F" w:rsidR="4626FA34">
              <w:rPr>
                <w:sz w:val="22"/>
                <w:szCs w:val="22"/>
              </w:rPr>
              <w:t xml:space="preserve">This documentary film </w:t>
            </w:r>
            <w:r w:rsidRPr="3D2C7E5F" w:rsidR="4626FA34">
              <w:rPr>
                <w:sz w:val="22"/>
                <w:szCs w:val="22"/>
              </w:rPr>
              <w:t>witnesses</w:t>
            </w:r>
            <w:r w:rsidRPr="3D2C7E5F" w:rsidR="4626FA34">
              <w:rPr>
                <w:sz w:val="22"/>
                <w:szCs w:val="22"/>
              </w:rPr>
              <w:t xml:space="preserve"> two families become ardent advocates in the maternal health space after the tragic loss of two women following the deliveries. </w:t>
            </w:r>
          </w:p>
          <w:p w:rsidRPr="00C30088" w:rsidR="00C30088" w:rsidP="3D2C7E5F" w:rsidRDefault="00C30088" w14:paraId="5651A760" w14:textId="0466E47C">
            <w:pPr>
              <w:pStyle w:val="Normal"/>
              <w:rPr>
                <w:i w:val="1"/>
                <w:iCs w:val="1"/>
                <w:sz w:val="22"/>
                <w:szCs w:val="22"/>
              </w:rPr>
            </w:pPr>
            <w:r w:rsidRPr="3D2C7E5F" w:rsidR="6AE073FF">
              <w:rPr>
                <w:i w:val="1"/>
                <w:iCs w:val="1"/>
                <w:sz w:val="22"/>
                <w:szCs w:val="22"/>
              </w:rPr>
              <w:t>Available on Hulu.</w:t>
            </w:r>
          </w:p>
        </w:tc>
      </w:tr>
      <w:tr w:rsidR="00C30088" w:rsidTr="3D2C7E5F" w14:paraId="7F41C56D" w14:textId="7777777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Pr="00C30088" w:rsidR="00C30088" w:rsidP="00C30088" w:rsidRDefault="00000000" w14:paraId="1AB5F737" w14:textId="792DF502">
            <w:pPr>
              <w:rPr>
                <w:sz w:val="22"/>
                <w:szCs w:val="22"/>
              </w:rPr>
            </w:pPr>
            <w:hyperlink r:id="rId18">
              <w:r w:rsidRPr="00C30088" w:rsidR="00C30088">
                <w:rPr>
                  <w:rStyle w:val="Hyperlink"/>
                  <w:sz w:val="22"/>
                  <w:szCs w:val="22"/>
                </w:rPr>
                <w:t>PQI 28-day Anti-Racism Challenge, v2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Pr="00C30088" w:rsidR="00C30088" w:rsidP="00C30088" w:rsidRDefault="00C30088" w14:paraId="51D9B226" w14:textId="291FD183">
            <w:pPr>
              <w:rPr>
                <w:sz w:val="22"/>
                <w:szCs w:val="22"/>
              </w:rPr>
            </w:pPr>
            <w:r w:rsidRPr="00C30088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Pr="00C30088" w:rsidR="00C30088" w:rsidP="00C30088" w:rsidRDefault="00384016" w14:paraId="27944C59" w14:textId="740715A6">
            <w:pPr>
              <w:rPr>
                <w:sz w:val="22"/>
                <w:szCs w:val="22"/>
              </w:rPr>
            </w:pPr>
            <w:r w:rsidRPr="3D2C7E5F" w:rsidR="03FEFA42">
              <w:rPr>
                <w:sz w:val="22"/>
                <w:szCs w:val="22"/>
              </w:rPr>
              <w:t xml:space="preserve">These daily challenges </w:t>
            </w:r>
            <w:r w:rsidRPr="3D2C7E5F" w:rsidR="03FEFA42">
              <w:rPr>
                <w:sz w:val="22"/>
                <w:szCs w:val="22"/>
              </w:rPr>
              <w:t>w</w:t>
            </w:r>
            <w:r w:rsidRPr="3D2C7E5F" w:rsidR="03FEFA42">
              <w:rPr>
                <w:sz w:val="22"/>
                <w:szCs w:val="22"/>
              </w:rPr>
              <w:t>ere</w:t>
            </w:r>
            <w:r w:rsidRPr="3D2C7E5F" w:rsidR="03FEFA42">
              <w:rPr>
                <w:sz w:val="22"/>
                <w:szCs w:val="22"/>
              </w:rPr>
              <w:t xml:space="preserve"> designed to help us all more effectively SPEAK UP </w:t>
            </w:r>
            <w:r w:rsidRPr="3D2C7E5F" w:rsidR="03FEFA42">
              <w:rPr>
                <w:sz w:val="22"/>
                <w:szCs w:val="22"/>
              </w:rPr>
              <w:t>a</w:t>
            </w:r>
            <w:r w:rsidRPr="3D2C7E5F" w:rsidR="03FEFA42">
              <w:rPr>
                <w:sz w:val="22"/>
                <w:szCs w:val="22"/>
              </w:rPr>
              <w:t xml:space="preserve">gainst </w:t>
            </w:r>
            <w:r w:rsidRPr="3D2C7E5F" w:rsidR="03FEFA42">
              <w:rPr>
                <w:sz w:val="22"/>
                <w:szCs w:val="22"/>
              </w:rPr>
              <w:t>r</w:t>
            </w:r>
            <w:r w:rsidRPr="3D2C7E5F" w:rsidR="03FEFA42">
              <w:rPr>
                <w:sz w:val="22"/>
                <w:szCs w:val="22"/>
              </w:rPr>
              <w:t>acism</w:t>
            </w:r>
            <w:r w:rsidRPr="3D2C7E5F" w:rsidR="03FEFA42">
              <w:rPr>
                <w:sz w:val="22"/>
                <w:szCs w:val="22"/>
              </w:rPr>
              <w:t xml:space="preserve"> by</w:t>
            </w:r>
            <w:r w:rsidRPr="3D2C7E5F" w:rsidR="03FEFA42">
              <w:rPr>
                <w:sz w:val="22"/>
                <w:szCs w:val="22"/>
              </w:rPr>
              <w:t xml:space="preserve"> enhanc</w:t>
            </w:r>
            <w:r w:rsidRPr="3D2C7E5F" w:rsidR="03FEFA42">
              <w:rPr>
                <w:sz w:val="22"/>
                <w:szCs w:val="22"/>
              </w:rPr>
              <w:t>ing</w:t>
            </w:r>
            <w:r w:rsidRPr="3D2C7E5F" w:rsidR="03FEFA42">
              <w:rPr>
                <w:sz w:val="22"/>
                <w:szCs w:val="22"/>
              </w:rPr>
              <w:t xml:space="preserve"> </w:t>
            </w:r>
            <w:r w:rsidRPr="3D2C7E5F" w:rsidR="03FEFA42">
              <w:rPr>
                <w:sz w:val="22"/>
                <w:szCs w:val="22"/>
              </w:rPr>
              <w:t>our</w:t>
            </w:r>
            <w:r w:rsidRPr="3D2C7E5F" w:rsidR="03FEFA42">
              <w:rPr>
                <w:sz w:val="22"/>
                <w:szCs w:val="22"/>
              </w:rPr>
              <w:t xml:space="preserve"> insights and provid</w:t>
            </w:r>
            <w:r w:rsidRPr="3D2C7E5F" w:rsidR="534FB299">
              <w:rPr>
                <w:sz w:val="22"/>
                <w:szCs w:val="22"/>
              </w:rPr>
              <w:t>ing</w:t>
            </w:r>
            <w:r w:rsidRPr="3D2C7E5F" w:rsidR="03FEFA42">
              <w:rPr>
                <w:sz w:val="22"/>
                <w:szCs w:val="22"/>
              </w:rPr>
              <w:t xml:space="preserve"> tools to support anti-racism efforts</w:t>
            </w:r>
            <w:r w:rsidRPr="3D2C7E5F" w:rsidR="03FEFA42">
              <w:rPr>
                <w:sz w:val="22"/>
                <w:szCs w:val="22"/>
              </w:rPr>
              <w:t>.</w:t>
            </w:r>
          </w:p>
        </w:tc>
      </w:tr>
      <w:tr w:rsidR="3D2C7E5F" w:rsidTr="3D2C7E5F" w14:paraId="0CD23D28">
        <w:trPr>
          <w:trHeight w:val="300"/>
        </w:trPr>
        <w:tc>
          <w:tcPr>
            <w:tcW w:w="9805" w:type="dxa"/>
            <w:gridSpan w:val="4"/>
            <w:shd w:val="clear" w:color="auto" w:fill="D9E2F3" w:themeFill="accent1" w:themeFillTint="33"/>
            <w:tcMar/>
            <w:vAlign w:val="center"/>
          </w:tcPr>
          <w:p w:rsidR="575AAB66" w:rsidP="3D2C7E5F" w:rsidRDefault="575AAB66" w14:paraId="03D68F1F" w14:textId="395ADA3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D2C7E5F" w:rsidR="575AAB66">
              <w:rPr>
                <w:b w:val="1"/>
                <w:bCs w:val="1"/>
                <w:sz w:val="24"/>
                <w:szCs w:val="24"/>
              </w:rPr>
              <w:t>Step 4: Feedback</w:t>
            </w:r>
          </w:p>
        </w:tc>
      </w:tr>
      <w:tr w:rsidR="3D2C7E5F" w:rsidTr="3D2C7E5F" w14:paraId="5EDC2941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="17B7D1E8" w:rsidP="3D2C7E5F" w:rsidRDefault="17B7D1E8" w14:paraId="304333E0" w14:textId="62E8ED6A">
            <w:pPr>
              <w:pStyle w:val="Normal"/>
              <w:rPr>
                <w:sz w:val="22"/>
                <w:szCs w:val="22"/>
              </w:rPr>
            </w:pPr>
            <w:hyperlink r:id="R52f39579530a4cff">
              <w:r w:rsidRPr="3D2C7E5F" w:rsidR="17B7D1E8">
                <w:rPr>
                  <w:rStyle w:val="Hyperlink"/>
                  <w:sz w:val="22"/>
                  <w:szCs w:val="22"/>
                </w:rPr>
                <w:t>(In)equity Toolbox</w:t>
              </w:r>
            </w:hyperlink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79D5DE19" w:rsidP="3D2C7E5F" w:rsidRDefault="79D5DE19" w14:paraId="08F518AD" w14:textId="4130F660">
            <w:pPr>
              <w:pStyle w:val="Normal"/>
              <w:rPr>
                <w:sz w:val="22"/>
                <w:szCs w:val="22"/>
              </w:rPr>
            </w:pPr>
            <w:r w:rsidRPr="3D2C7E5F" w:rsidR="79D5DE19">
              <w:rPr>
                <w:sz w:val="22"/>
                <w:szCs w:val="22"/>
              </w:rPr>
              <w:t>All Staff</w:t>
            </w: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="3B30F8E8" w:rsidP="3D2C7E5F" w:rsidRDefault="3B30F8E8" w14:paraId="3EE0E218" w14:textId="03F7258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D2C7E5F" w:rsidR="3B30F8E8">
              <w:rPr>
                <w:sz w:val="22"/>
                <w:szCs w:val="22"/>
              </w:rPr>
              <w:t>Strategy used by Massachusetts General Hospital OB Department to provide anonymous feedback of workplace and patient interactions to improve equity.</w:t>
            </w:r>
          </w:p>
        </w:tc>
      </w:tr>
      <w:tr w:rsidR="3D2C7E5F" w:rsidTr="3D2C7E5F" w14:paraId="0E622597">
        <w:trPr>
          <w:trHeight w:val="300"/>
        </w:trPr>
        <w:tc>
          <w:tcPr>
            <w:tcW w:w="3610" w:type="dxa"/>
            <w:gridSpan w:val="2"/>
            <w:shd w:val="clear" w:color="auto" w:fill="auto"/>
            <w:tcMar/>
            <w:vAlign w:val="center"/>
          </w:tcPr>
          <w:p w:rsidR="17B7D1E8" w:rsidP="3D2C7E5F" w:rsidRDefault="17B7D1E8" w14:paraId="3EE7DEB9" w14:textId="48822E98">
            <w:pPr>
              <w:pStyle w:val="Normal"/>
              <w:rPr>
                <w:sz w:val="22"/>
                <w:szCs w:val="22"/>
              </w:rPr>
            </w:pPr>
            <w:r w:rsidRPr="3D2C7E5F" w:rsidR="17B7D1E8">
              <w:rPr>
                <w:sz w:val="22"/>
                <w:szCs w:val="22"/>
              </w:rPr>
              <w:t>PREMS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3D2C7E5F" w:rsidP="3D2C7E5F" w:rsidRDefault="3D2C7E5F" w14:paraId="2D0C8B51" w14:textId="02181754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  <w:tcMar/>
            <w:vAlign w:val="center"/>
          </w:tcPr>
          <w:p w:rsidR="103E028E" w:rsidP="3D2C7E5F" w:rsidRDefault="103E028E" w14:paraId="05E1C6D0" w14:textId="01E16944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  <w:r w:rsidRPr="3D2C7E5F" w:rsidR="103E028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Patient Reported Experience Measure (PREM) Survey</w:t>
            </w:r>
            <w:r w:rsidRPr="3D2C7E5F" w:rsidR="2ABE062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to obtain feedback from patients.</w:t>
            </w:r>
          </w:p>
        </w:tc>
      </w:tr>
    </w:tbl>
    <w:p w:rsidR="000B2A56" w:rsidRDefault="000B2A56" w14:paraId="763318F1" w14:textId="77777777"/>
    <w:sectPr w:rsidR="000B2A56">
      <w:headerReference w:type="default" r:id="rId2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3D2" w:rsidP="007D1E29" w:rsidRDefault="00C543D2" w14:paraId="77F1B874" w14:textId="77777777">
      <w:r>
        <w:separator/>
      </w:r>
    </w:p>
  </w:endnote>
  <w:endnote w:type="continuationSeparator" w:id="0">
    <w:p w:rsidR="00C543D2" w:rsidP="007D1E29" w:rsidRDefault="00C543D2" w14:paraId="5E8833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3D2" w:rsidP="007D1E29" w:rsidRDefault="00C543D2" w14:paraId="063CB454" w14:textId="77777777">
      <w:r>
        <w:separator/>
      </w:r>
    </w:p>
  </w:footnote>
  <w:footnote w:type="continuationSeparator" w:id="0">
    <w:p w:rsidR="00C543D2" w:rsidP="007D1E29" w:rsidRDefault="00C543D2" w14:paraId="372776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D1E29" w:rsidRDefault="007D1E29" w14:paraId="117C3E56" w14:textId="5085DD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B4887" wp14:editId="5CD41F73">
          <wp:simplePos x="0" y="0"/>
          <wp:positionH relativeFrom="column">
            <wp:posOffset>5465388</wp:posOffset>
          </wp:positionH>
          <wp:positionV relativeFrom="paragraph">
            <wp:posOffset>-297815</wp:posOffset>
          </wp:positionV>
          <wp:extent cx="1213485" cy="572770"/>
          <wp:effectExtent l="0" t="0" r="5715" b="6350"/>
          <wp:wrapTight wrapText="bothSides">
            <wp:wrapPolygon edited="0">
              <wp:start x="0" y="0"/>
              <wp:lineTo x="0" y="20834"/>
              <wp:lineTo x="21363" y="20834"/>
              <wp:lineTo x="21363" y="0"/>
              <wp:lineTo x="0" y="0"/>
            </wp:wrapPolygon>
          </wp:wrapTight>
          <wp:docPr id="11" name="Picture 11" descr="A logo with a baby in the shape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with a baby in the shape of a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48319f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4372c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fbe1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6cf5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BA7BDC"/>
    <w:multiLevelType w:val="hybridMultilevel"/>
    <w:tmpl w:val="81D2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507"/>
    <w:multiLevelType w:val="hybridMultilevel"/>
    <w:tmpl w:val="2CC86E20"/>
    <w:lvl w:ilvl="0" w:tplc="09321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652180355">
    <w:abstractNumId w:val="0"/>
  </w:num>
  <w:num w:numId="2" w16cid:durableId="9321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56"/>
    <w:rsid w:val="000B2A56"/>
    <w:rsid w:val="0028141B"/>
    <w:rsid w:val="00384016"/>
    <w:rsid w:val="00531858"/>
    <w:rsid w:val="005E26EA"/>
    <w:rsid w:val="006D4B25"/>
    <w:rsid w:val="007D1E29"/>
    <w:rsid w:val="00C056F7"/>
    <w:rsid w:val="00C30088"/>
    <w:rsid w:val="00C543D2"/>
    <w:rsid w:val="00FB5C09"/>
    <w:rsid w:val="015F3228"/>
    <w:rsid w:val="01F9FDB7"/>
    <w:rsid w:val="03DF54A8"/>
    <w:rsid w:val="03E57B34"/>
    <w:rsid w:val="03FEFA42"/>
    <w:rsid w:val="040FE6AB"/>
    <w:rsid w:val="04180607"/>
    <w:rsid w:val="043BB1B1"/>
    <w:rsid w:val="0457F935"/>
    <w:rsid w:val="0621962D"/>
    <w:rsid w:val="0677893B"/>
    <w:rsid w:val="074FA6C9"/>
    <w:rsid w:val="078F99F7"/>
    <w:rsid w:val="08610D39"/>
    <w:rsid w:val="08EB772A"/>
    <w:rsid w:val="092B6A58"/>
    <w:rsid w:val="0977D799"/>
    <w:rsid w:val="0AEBD677"/>
    <w:rsid w:val="0B9547EB"/>
    <w:rsid w:val="0C2FD70D"/>
    <w:rsid w:val="0CBB69DD"/>
    <w:rsid w:val="0D31184C"/>
    <w:rsid w:val="103E028E"/>
    <w:rsid w:val="1308235D"/>
    <w:rsid w:val="1364CA12"/>
    <w:rsid w:val="142E29D1"/>
    <w:rsid w:val="14760A85"/>
    <w:rsid w:val="15CD5336"/>
    <w:rsid w:val="15E238F7"/>
    <w:rsid w:val="15F9C05D"/>
    <w:rsid w:val="17070B4C"/>
    <w:rsid w:val="172FADA3"/>
    <w:rsid w:val="17B7D1E8"/>
    <w:rsid w:val="19ECDE70"/>
    <w:rsid w:val="1A2C0993"/>
    <w:rsid w:val="1A836B81"/>
    <w:rsid w:val="1BEB2820"/>
    <w:rsid w:val="1D3C5E8B"/>
    <w:rsid w:val="1DBBE3BA"/>
    <w:rsid w:val="1E99BD18"/>
    <w:rsid w:val="1F39223B"/>
    <w:rsid w:val="1FF125BC"/>
    <w:rsid w:val="218CF61D"/>
    <w:rsid w:val="228A5217"/>
    <w:rsid w:val="2328C67E"/>
    <w:rsid w:val="238EFD13"/>
    <w:rsid w:val="23900273"/>
    <w:rsid w:val="24262278"/>
    <w:rsid w:val="2443BE8F"/>
    <w:rsid w:val="24635EB2"/>
    <w:rsid w:val="249A0326"/>
    <w:rsid w:val="257AC736"/>
    <w:rsid w:val="25FF2F13"/>
    <w:rsid w:val="270CB0E0"/>
    <w:rsid w:val="27496135"/>
    <w:rsid w:val="278734E7"/>
    <w:rsid w:val="281CFFCC"/>
    <w:rsid w:val="28393EC2"/>
    <w:rsid w:val="288BF548"/>
    <w:rsid w:val="28B267F8"/>
    <w:rsid w:val="29DABDDE"/>
    <w:rsid w:val="2ABE0625"/>
    <w:rsid w:val="2C29AF74"/>
    <w:rsid w:val="2C5AA60A"/>
    <w:rsid w:val="2CF3FEB2"/>
    <w:rsid w:val="2E8A173C"/>
    <w:rsid w:val="2EFB36CC"/>
    <w:rsid w:val="2F91D03A"/>
    <w:rsid w:val="2FEBEF95"/>
    <w:rsid w:val="30A3157A"/>
    <w:rsid w:val="30EB7D23"/>
    <w:rsid w:val="30F894AD"/>
    <w:rsid w:val="3147BB81"/>
    <w:rsid w:val="31875FB9"/>
    <w:rsid w:val="32548473"/>
    <w:rsid w:val="32AC54D6"/>
    <w:rsid w:val="33E11C4E"/>
    <w:rsid w:val="356D2BC0"/>
    <w:rsid w:val="36077C9D"/>
    <w:rsid w:val="360B4D95"/>
    <w:rsid w:val="36ED2054"/>
    <w:rsid w:val="37EA3052"/>
    <w:rsid w:val="3886C5A6"/>
    <w:rsid w:val="3A6AB449"/>
    <w:rsid w:val="3AEFD6D5"/>
    <w:rsid w:val="3B30F8E8"/>
    <w:rsid w:val="3B72B1DE"/>
    <w:rsid w:val="3BD3C224"/>
    <w:rsid w:val="3C4B381A"/>
    <w:rsid w:val="3D2C7E5F"/>
    <w:rsid w:val="3D5158B7"/>
    <w:rsid w:val="3D9A03B4"/>
    <w:rsid w:val="3EF16A30"/>
    <w:rsid w:val="3FAF0465"/>
    <w:rsid w:val="4088F979"/>
    <w:rsid w:val="42C75F62"/>
    <w:rsid w:val="43151B96"/>
    <w:rsid w:val="439E248D"/>
    <w:rsid w:val="43DE17BB"/>
    <w:rsid w:val="456F6143"/>
    <w:rsid w:val="4626FA34"/>
    <w:rsid w:val="491B5C60"/>
    <w:rsid w:val="49B5EF30"/>
    <w:rsid w:val="49DB665E"/>
    <w:rsid w:val="4BCBAC20"/>
    <w:rsid w:val="4C85D802"/>
    <w:rsid w:val="4CE91C35"/>
    <w:rsid w:val="4D088510"/>
    <w:rsid w:val="4FC11A0A"/>
    <w:rsid w:val="5008D87F"/>
    <w:rsid w:val="50F3B0DA"/>
    <w:rsid w:val="518223F2"/>
    <w:rsid w:val="51A4A8E0"/>
    <w:rsid w:val="51A766BF"/>
    <w:rsid w:val="5234BBEE"/>
    <w:rsid w:val="528F813B"/>
    <w:rsid w:val="53407941"/>
    <w:rsid w:val="534FB299"/>
    <w:rsid w:val="53D8846D"/>
    <w:rsid w:val="54BC61BC"/>
    <w:rsid w:val="57073B8A"/>
    <w:rsid w:val="570AD8C6"/>
    <w:rsid w:val="57164C4D"/>
    <w:rsid w:val="575AAB66"/>
    <w:rsid w:val="577EDB06"/>
    <w:rsid w:val="57C683AF"/>
    <w:rsid w:val="58698E57"/>
    <w:rsid w:val="58A569B2"/>
    <w:rsid w:val="58B21CAE"/>
    <w:rsid w:val="5C7FFD3B"/>
    <w:rsid w:val="5FD19594"/>
    <w:rsid w:val="6074A03C"/>
    <w:rsid w:val="60B5E791"/>
    <w:rsid w:val="61CE29C7"/>
    <w:rsid w:val="6258FEF4"/>
    <w:rsid w:val="63093656"/>
    <w:rsid w:val="6367DA5D"/>
    <w:rsid w:val="65BE27E5"/>
    <w:rsid w:val="6629E6F2"/>
    <w:rsid w:val="66B5F685"/>
    <w:rsid w:val="67AE35B1"/>
    <w:rsid w:val="67B3A98A"/>
    <w:rsid w:val="6824882D"/>
    <w:rsid w:val="68AE7084"/>
    <w:rsid w:val="68F6D37F"/>
    <w:rsid w:val="6937791B"/>
    <w:rsid w:val="69C0588E"/>
    <w:rsid w:val="6AAD1A9C"/>
    <w:rsid w:val="6AE073FF"/>
    <w:rsid w:val="6B49F5DD"/>
    <w:rsid w:val="6BADB9DC"/>
    <w:rsid w:val="6C056FC1"/>
    <w:rsid w:val="6CFA5EF8"/>
    <w:rsid w:val="6E10D49A"/>
    <w:rsid w:val="6E212616"/>
    <w:rsid w:val="6E36B56B"/>
    <w:rsid w:val="6E40CABD"/>
    <w:rsid w:val="6F533FF9"/>
    <w:rsid w:val="700C2845"/>
    <w:rsid w:val="706802A2"/>
    <w:rsid w:val="719789A0"/>
    <w:rsid w:val="71ED7333"/>
    <w:rsid w:val="72D7F7C1"/>
    <w:rsid w:val="73012EFD"/>
    <w:rsid w:val="732747A6"/>
    <w:rsid w:val="739C17E9"/>
    <w:rsid w:val="74DA3B98"/>
    <w:rsid w:val="75E641F8"/>
    <w:rsid w:val="76077187"/>
    <w:rsid w:val="793F1249"/>
    <w:rsid w:val="796A80FD"/>
    <w:rsid w:val="798A1FEE"/>
    <w:rsid w:val="79D5DE19"/>
    <w:rsid w:val="7A4F0D89"/>
    <w:rsid w:val="7BAFA29E"/>
    <w:rsid w:val="7C3A72F0"/>
    <w:rsid w:val="7C411751"/>
    <w:rsid w:val="7D06176A"/>
    <w:rsid w:val="7F7213B2"/>
    <w:rsid w:val="7FE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6F19D"/>
  <w15:chartTrackingRefBased/>
  <w15:docId w15:val="{38885060-46A8-3C40-99F0-9D8E3034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2A56"/>
  </w:style>
  <w:style w:type="paragraph" w:styleId="Heading1">
    <w:name w:val="heading 1"/>
    <w:basedOn w:val="Normal"/>
    <w:next w:val="Normal"/>
    <w:link w:val="Heading1Char"/>
    <w:uiPriority w:val="9"/>
    <w:qFormat/>
    <w:rsid w:val="000B2A5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B2A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A56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2A5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0B2A5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00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0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E2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1E29"/>
  </w:style>
  <w:style w:type="paragraph" w:styleId="Footer">
    <w:name w:val="footer"/>
    <w:basedOn w:val="Normal"/>
    <w:link w:val="FooterChar"/>
    <w:uiPriority w:val="99"/>
    <w:unhideWhenUsed/>
    <w:rsid w:val="007D1E2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imcci.org/nhsa-aim-cci-racial-equity-learning-series-rels/" TargetMode="External" Id="rId8" /><Relationship Type="http://schemas.openxmlformats.org/officeDocument/2006/relationships/hyperlink" Target="https://ipromoteil.org/illinois-maternal-health-digital-storytelling-project/" TargetMode="External" Id="rId13" /><Relationship Type="http://schemas.openxmlformats.org/officeDocument/2006/relationships/hyperlink" Target="https://www.perinatalqi.org/page/Anti-RacismChallengev2" TargetMode="External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ipromoteil.org/implicit-bias-training-inventory/" TargetMode="External" Id="rId7" /><Relationship Type="http://schemas.openxmlformats.org/officeDocument/2006/relationships/hyperlink" Target="https://www.perinatalqi.org/page/SPEAKUPTraining" TargetMode="External" Id="rId12" /><Relationship Type="http://schemas.openxmlformats.org/officeDocument/2006/relationships/hyperlink" Target="https://www.aftershockdocumentary.com/" TargetMode="External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learn.diversityscience.org/learn/public/catalog" TargetMode="External" Id="rId11" /><Relationship Type="http://schemas.openxmlformats.org/officeDocument/2006/relationships/header" Target="header1.xml" Id="rId24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modprofessionaled.learnuponus.com/store/502-awareness-to-action-dismantling-bias-in-maternal-and-infant-healthcare" TargetMode="External" Id="rId9" /><Relationship Type="http://schemas.openxmlformats.org/officeDocument/2006/relationships/hyperlink" Target="https://www.cdc.gov/hearher/personal-stories/index.html" TargetMode="External" Id="rId14" /><Relationship Type="http://schemas.openxmlformats.org/officeDocument/2006/relationships/hyperlink" Target="https://docs.google.com/document/d/1-MVSS_y5OHFb1QQv_rSHIt_RkwIP8YXm/edit" TargetMode="External" Id="R5acae27a6cfa451c" /><Relationship Type="http://schemas.openxmlformats.org/officeDocument/2006/relationships/hyperlink" Target="https://nam04.safelinks.protection.outlook.com/GetUrlReputation" TargetMode="External" Id="R97ea23217b5f47c8" /><Relationship Type="http://schemas.openxmlformats.org/officeDocument/2006/relationships/hyperlink" Target="https://www.nature.com/articles/s41372-023-01736-y" TargetMode="External" Id="Rf6e9b486918d41cd" /><Relationship Type="http://schemas.openxmlformats.org/officeDocument/2006/relationships/hyperlink" Target="https://toxicshortfilm.com/purchase" TargetMode="External" Id="R6a22d0472c8f4b1e" /><Relationship Type="http://schemas.openxmlformats.org/officeDocument/2006/relationships/hyperlink" Target="https://www.laboringwithhope.com/" TargetMode="External" Id="R355a022184eb4c31" /><Relationship Type="http://schemas.openxmlformats.org/officeDocument/2006/relationships/hyperlink" Target="https://ilpqc.org/ILPQC%202020%2B/Birth%20Equity/Inequity%20Box%20Example%20from%20MGH%20OB_GYN.pdf" TargetMode="External" Id="R52f39579530a4cf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Rose Gippo</dc:creator>
  <keywords/>
  <dc:description/>
  <lastModifiedBy>Eileen Fleming Suse</lastModifiedBy>
  <revision>5</revision>
  <dcterms:created xsi:type="dcterms:W3CDTF">2023-12-15T15:47:00.0000000Z</dcterms:created>
  <dcterms:modified xsi:type="dcterms:W3CDTF">2024-01-19T23:00:20.3610991Z</dcterms:modified>
</coreProperties>
</file>