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7" w:rsidRDefault="00A53277" w:rsidP="001F7EA0">
      <w:pPr>
        <w:spacing w:after="0" w:line="240" w:lineRule="auto"/>
        <w:rPr>
          <w:bCs/>
        </w:rPr>
      </w:pPr>
    </w:p>
    <w:p w:rsidR="00A53277" w:rsidRDefault="00A53277" w:rsidP="008F3FD6">
      <w:pPr>
        <w:spacing w:after="0" w:line="240" w:lineRule="auto"/>
        <w:jc w:val="center"/>
        <w:rPr>
          <w:b/>
          <w:bCs/>
          <w:sz w:val="24"/>
          <w:u w:val="single"/>
        </w:rPr>
      </w:pPr>
      <w:r w:rsidRPr="00CB2EAB">
        <w:rPr>
          <w:b/>
          <w:bCs/>
          <w:sz w:val="24"/>
          <w:u w:val="single"/>
        </w:rPr>
        <w:t xml:space="preserve">Key Resources and Takeaways </w:t>
      </w:r>
      <w:r w:rsidR="00CB2EAB" w:rsidRPr="00CB2EAB">
        <w:rPr>
          <w:b/>
          <w:bCs/>
          <w:sz w:val="24"/>
          <w:u w:val="single"/>
        </w:rPr>
        <w:t>for Risk Assessment for newborns &lt;35</w:t>
      </w:r>
      <w:r w:rsidRPr="00CB2EAB">
        <w:rPr>
          <w:b/>
          <w:bCs/>
          <w:sz w:val="24"/>
          <w:u w:val="single"/>
        </w:rPr>
        <w:t xml:space="preserve"> </w:t>
      </w:r>
      <w:r w:rsidR="00CB2EAB" w:rsidRPr="00CB2EAB">
        <w:rPr>
          <w:b/>
          <w:bCs/>
          <w:sz w:val="24"/>
          <w:u w:val="single"/>
        </w:rPr>
        <w:t>weeks</w:t>
      </w:r>
    </w:p>
    <w:p w:rsidR="00894ABE" w:rsidRPr="00CB2EAB" w:rsidRDefault="00894ABE" w:rsidP="008F3FD6">
      <w:pPr>
        <w:spacing w:after="0" w:line="240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Dr. </w:t>
      </w:r>
    </w:p>
    <w:p w:rsidR="00A53277" w:rsidRDefault="00A53277" w:rsidP="001F7EA0">
      <w:pPr>
        <w:spacing w:after="0" w:line="240" w:lineRule="auto"/>
        <w:rPr>
          <w:bCs/>
        </w:rPr>
      </w:pPr>
    </w:p>
    <w:p w:rsidR="00A93454" w:rsidRDefault="00A93454" w:rsidP="001F7EA0">
      <w:pPr>
        <w:spacing w:after="0" w:line="240" w:lineRule="auto"/>
        <w:rPr>
          <w:bCs/>
        </w:rPr>
      </w:pPr>
    </w:p>
    <w:p w:rsidR="00F76016" w:rsidRDefault="00A93454" w:rsidP="00F76016">
      <w:pPr>
        <w:spacing w:after="0" w:line="240" w:lineRule="auto"/>
        <w:jc w:val="center"/>
        <w:rPr>
          <w:bCs/>
          <w:u w:val="single"/>
        </w:rPr>
      </w:pPr>
      <w:r w:rsidRPr="00F76016">
        <w:rPr>
          <w:bCs/>
          <w:u w:val="single"/>
        </w:rPr>
        <w:t>General Guidelines from AAP</w:t>
      </w:r>
    </w:p>
    <w:p w:rsidR="00F76016" w:rsidRPr="00F76016" w:rsidRDefault="00F76016" w:rsidP="00F76016">
      <w:pPr>
        <w:spacing w:after="0" w:line="240" w:lineRule="auto"/>
        <w:jc w:val="center"/>
        <w:rPr>
          <w:bCs/>
          <w:u w:val="single"/>
        </w:rPr>
      </w:pPr>
    </w:p>
    <w:p w:rsidR="00A93454" w:rsidRDefault="00A93454" w:rsidP="001F7EA0">
      <w:pPr>
        <w:spacing w:after="0" w:line="240" w:lineRule="auto"/>
        <w:rPr>
          <w:bCs/>
        </w:rPr>
      </w:pPr>
      <w:r w:rsidRPr="00F76016">
        <w:rPr>
          <w:bCs/>
          <w:u w:val="single"/>
        </w:rPr>
        <w:t>Title:</w:t>
      </w:r>
      <w:r w:rsidR="00F76016">
        <w:rPr>
          <w:bCs/>
        </w:rPr>
        <w:t xml:space="preserve"> </w:t>
      </w:r>
      <w:r w:rsidR="00F76016" w:rsidRPr="00F76016">
        <w:rPr>
          <w:bCs/>
        </w:rPr>
        <w:t xml:space="preserve">Management of Neonates Born at ≤34 6/7 Weeks’ Gestation </w:t>
      </w:r>
      <w:proofErr w:type="gramStart"/>
      <w:r w:rsidR="00F76016" w:rsidRPr="00F76016">
        <w:rPr>
          <w:bCs/>
        </w:rPr>
        <w:t>With</w:t>
      </w:r>
      <w:proofErr w:type="gramEnd"/>
      <w:r w:rsidR="00F76016" w:rsidRPr="00F76016">
        <w:rPr>
          <w:bCs/>
        </w:rPr>
        <w:t xml:space="preserve"> Suspected or Proven Early-Onset Bacterial Sepsis</w:t>
      </w:r>
    </w:p>
    <w:p w:rsidR="00F76016" w:rsidRDefault="00F76016" w:rsidP="001F7EA0">
      <w:pPr>
        <w:spacing w:after="0" w:line="240" w:lineRule="auto"/>
        <w:rPr>
          <w:bCs/>
        </w:rPr>
      </w:pPr>
      <w:r w:rsidRPr="00F76016">
        <w:rPr>
          <w:bCs/>
          <w:u w:val="single"/>
        </w:rPr>
        <w:t>Author:</w:t>
      </w:r>
      <w:r>
        <w:rPr>
          <w:bCs/>
        </w:rPr>
        <w:t xml:space="preserve"> Karen </w:t>
      </w:r>
      <w:proofErr w:type="spellStart"/>
      <w:r>
        <w:rPr>
          <w:bCs/>
        </w:rPr>
        <w:t>Puopolo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et</w:t>
      </w:r>
      <w:proofErr w:type="gramEnd"/>
      <w:r>
        <w:rPr>
          <w:bCs/>
        </w:rPr>
        <w:t>. Al, 2018:</w:t>
      </w:r>
    </w:p>
    <w:p w:rsidR="00F76016" w:rsidRDefault="007C59D6" w:rsidP="001F7EA0">
      <w:pPr>
        <w:spacing w:after="0" w:line="240" w:lineRule="auto"/>
        <w:rPr>
          <w:bCs/>
        </w:rPr>
      </w:pPr>
      <w:hyperlink r:id="rId6" w:history="1">
        <w:r w:rsidR="00A93454" w:rsidRPr="00F76016">
          <w:rPr>
            <w:rStyle w:val="Hyperlink"/>
            <w:bCs/>
          </w:rPr>
          <w:t>Link to article</w:t>
        </w:r>
      </w:hyperlink>
    </w:p>
    <w:p w:rsidR="00F76016" w:rsidRDefault="00F76016" w:rsidP="001F7EA0">
      <w:pPr>
        <w:spacing w:after="0" w:line="240" w:lineRule="auto"/>
        <w:rPr>
          <w:bCs/>
        </w:rPr>
      </w:pPr>
    </w:p>
    <w:p w:rsidR="00A93454" w:rsidRPr="00F76016" w:rsidRDefault="00F76016" w:rsidP="001F7EA0">
      <w:pPr>
        <w:spacing w:after="0" w:line="240" w:lineRule="auto"/>
        <w:rPr>
          <w:bCs/>
          <w:u w:val="single"/>
        </w:rPr>
      </w:pPr>
      <w:r w:rsidRPr="00F76016">
        <w:rPr>
          <w:bCs/>
          <w:u w:val="single"/>
        </w:rPr>
        <w:t>Key Takeaways:</w:t>
      </w:r>
      <w:r w:rsidR="00A93454" w:rsidRPr="00F76016">
        <w:rPr>
          <w:bCs/>
          <w:u w:val="single"/>
        </w:rPr>
        <w:t xml:space="preserve"> </w:t>
      </w:r>
    </w:p>
    <w:p w:rsidR="001F7EA0" w:rsidRPr="001F7EA0" w:rsidRDefault="001F7EA0" w:rsidP="001F7EA0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Low EOS Risk Categorization:</w:t>
      </w:r>
    </w:p>
    <w:p w:rsidR="001F7EA0" w:rsidRPr="001F7EA0" w:rsidRDefault="001F7EA0" w:rsidP="001F7EA0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Based on delivery criteria</w:t>
      </w:r>
    </w:p>
    <w:p w:rsidR="00BD638F" w:rsidRPr="001F7EA0" w:rsidRDefault="00934E36" w:rsidP="001F7EA0">
      <w:pPr>
        <w:numPr>
          <w:ilvl w:val="1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 xml:space="preserve">Preterm infants at a lower risk for EOS: 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Obstetric indications for preterm birth (such as preeclampsia)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Birth by cesarean delivery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Absence of labor, attempts to induce labor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Membrane rupture at time of delivery</w:t>
      </w:r>
    </w:p>
    <w:p w:rsidR="00BD638F" w:rsidRPr="001F7EA0" w:rsidRDefault="00934E36" w:rsidP="001F7EA0">
      <w:pPr>
        <w:numPr>
          <w:ilvl w:val="1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Management for these infants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No laboratory evaluation, no empirical antibiotic therapy</w:t>
      </w:r>
    </w:p>
    <w:p w:rsidR="001F7EA0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Or, blood culture and no empirical antibiotic therapy</w:t>
      </w:r>
    </w:p>
    <w:p w:rsidR="001F7EA0" w:rsidRPr="001F7EA0" w:rsidRDefault="001F7EA0" w:rsidP="001F7EA0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Laboratory Tests:</w:t>
      </w:r>
    </w:p>
    <w:p w:rsidR="00BD638F" w:rsidRPr="001F7EA0" w:rsidRDefault="00934E36" w:rsidP="001F7EA0">
      <w:pPr>
        <w:numPr>
          <w:ilvl w:val="1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 xml:space="preserve">Blood culture: 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The diagnostic standard for EOS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Reliably detect bacteremia at a level of 1 to 10 CFU with 1 mL blood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Consider anaerobic cultures</w:t>
      </w:r>
    </w:p>
    <w:p w:rsidR="00BD638F" w:rsidRPr="001F7EA0" w:rsidRDefault="00934E36" w:rsidP="001F7EA0">
      <w:pPr>
        <w:numPr>
          <w:ilvl w:val="1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 xml:space="preserve">CSF culture: </w:t>
      </w:r>
    </w:p>
    <w:p w:rsidR="00BD638F" w:rsidRPr="001F7EA0" w:rsidRDefault="00934E36" w:rsidP="001F7EA0">
      <w:pPr>
        <w:numPr>
          <w:ilvl w:val="2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Case by case</w:t>
      </w:r>
    </w:p>
    <w:p w:rsidR="001F7EA0" w:rsidRPr="00A53277" w:rsidRDefault="001F7EA0" w:rsidP="001F7EA0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Continuation for persistent cardiorespiratory instability or laboratory test abnormalities in the absence of culture-confirmed disease is rarely justified</w:t>
      </w:r>
    </w:p>
    <w:p w:rsidR="001F7EA0" w:rsidRPr="001F7EA0" w:rsidRDefault="001F7EA0" w:rsidP="001F7EA0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Evaluation/Treatment:</w:t>
      </w:r>
    </w:p>
    <w:p w:rsidR="001F7EA0" w:rsidRPr="001F7EA0" w:rsidRDefault="00934E36" w:rsidP="00A53277">
      <w:pPr>
        <w:numPr>
          <w:ilvl w:val="1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When initial blood culture results are negative, antibiotics should be discontinued by 36-48 hours, unless site-specific infection</w:t>
      </w:r>
    </w:p>
    <w:p w:rsidR="001F7EA0" w:rsidRPr="001F7EA0" w:rsidRDefault="001F7EA0" w:rsidP="001F7EA0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1F7EA0">
        <w:rPr>
          <w:bCs/>
        </w:rPr>
        <w:t>Treatment:</w:t>
      </w:r>
    </w:p>
    <w:p w:rsidR="00BD638F" w:rsidRPr="001F7EA0" w:rsidRDefault="00934E36" w:rsidP="00A53277">
      <w:pPr>
        <w:numPr>
          <w:ilvl w:val="1"/>
          <w:numId w:val="10"/>
        </w:numPr>
        <w:spacing w:after="0" w:line="240" w:lineRule="auto"/>
      </w:pPr>
      <w:r w:rsidRPr="001F7EA0">
        <w:rPr>
          <w:bCs/>
        </w:rPr>
        <w:t>Ampicillin and gentamicin are the 1</w:t>
      </w:r>
      <w:r w:rsidRPr="001F7EA0">
        <w:rPr>
          <w:bCs/>
          <w:vertAlign w:val="superscript"/>
        </w:rPr>
        <w:t>st</w:t>
      </w:r>
      <w:r w:rsidRPr="001F7EA0">
        <w:rPr>
          <w:bCs/>
        </w:rPr>
        <w:t xml:space="preserve"> choice for empirical therapy.</w:t>
      </w:r>
    </w:p>
    <w:p w:rsidR="00BD638F" w:rsidRPr="001F7EA0" w:rsidRDefault="00934E36" w:rsidP="00A53277">
      <w:pPr>
        <w:numPr>
          <w:ilvl w:val="1"/>
          <w:numId w:val="10"/>
        </w:numPr>
        <w:spacing w:after="0" w:line="240" w:lineRule="auto"/>
      </w:pPr>
      <w:r w:rsidRPr="001F7EA0">
        <w:rPr>
          <w:bCs/>
        </w:rPr>
        <w:t>The routine empirical use of broader-spectrum antibiotics is not warranted and may be harmful</w:t>
      </w:r>
    </w:p>
    <w:p w:rsidR="00BD638F" w:rsidRPr="001F7EA0" w:rsidRDefault="00934E36" w:rsidP="00A53277">
      <w:pPr>
        <w:numPr>
          <w:ilvl w:val="1"/>
          <w:numId w:val="10"/>
        </w:numPr>
        <w:spacing w:after="0" w:line="240" w:lineRule="auto"/>
      </w:pPr>
      <w:r w:rsidRPr="001F7EA0">
        <w:rPr>
          <w:bCs/>
        </w:rPr>
        <w:t>Preterm infants who are severely ill and at the highest risk for Gram negative EOS …the empirical addition of broader-spectrum antibiotic therapy may be considered</w:t>
      </w:r>
    </w:p>
    <w:p w:rsidR="00DA47BA" w:rsidRDefault="00DA47BA"/>
    <w:p w:rsidR="00F76016" w:rsidRDefault="00F76016" w:rsidP="00F76016">
      <w:pPr>
        <w:spacing w:after="0"/>
        <w:jc w:val="center"/>
        <w:rPr>
          <w:bCs/>
          <w:u w:val="single"/>
        </w:rPr>
      </w:pPr>
    </w:p>
    <w:p w:rsidR="00F76016" w:rsidRDefault="00F76016" w:rsidP="00F76016">
      <w:pPr>
        <w:spacing w:after="0"/>
        <w:jc w:val="center"/>
        <w:rPr>
          <w:bCs/>
          <w:u w:val="single"/>
        </w:rPr>
      </w:pPr>
    </w:p>
    <w:p w:rsidR="00F76016" w:rsidRDefault="00F76016" w:rsidP="00F76016">
      <w:pPr>
        <w:spacing w:after="0"/>
        <w:jc w:val="center"/>
        <w:rPr>
          <w:bCs/>
          <w:u w:val="single"/>
        </w:rPr>
      </w:pPr>
    </w:p>
    <w:p w:rsidR="00F76016" w:rsidRDefault="00F76016" w:rsidP="00F76016">
      <w:pPr>
        <w:spacing w:after="0"/>
        <w:jc w:val="center"/>
        <w:rPr>
          <w:bCs/>
          <w:u w:val="single"/>
        </w:rPr>
      </w:pPr>
    </w:p>
    <w:p w:rsidR="00F76016" w:rsidRDefault="00F76016" w:rsidP="00F76016">
      <w:pPr>
        <w:spacing w:after="0"/>
        <w:jc w:val="center"/>
        <w:rPr>
          <w:bCs/>
          <w:u w:val="single"/>
        </w:rPr>
      </w:pPr>
    </w:p>
    <w:p w:rsidR="00A93454" w:rsidRDefault="00A93454" w:rsidP="00F76016">
      <w:pPr>
        <w:spacing w:after="0"/>
        <w:jc w:val="center"/>
        <w:rPr>
          <w:bCs/>
          <w:u w:val="single"/>
        </w:rPr>
      </w:pPr>
      <w:r w:rsidRPr="00F76016">
        <w:rPr>
          <w:bCs/>
          <w:u w:val="single"/>
        </w:rPr>
        <w:t xml:space="preserve">Publication identifying </w:t>
      </w:r>
      <w:r w:rsidR="00F76016" w:rsidRPr="00F76016">
        <w:rPr>
          <w:bCs/>
          <w:u w:val="single"/>
        </w:rPr>
        <w:t>preterm infants at low risk of EOS</w:t>
      </w:r>
    </w:p>
    <w:p w:rsidR="00F76016" w:rsidRPr="00F76016" w:rsidRDefault="00F76016" w:rsidP="00F76016">
      <w:pPr>
        <w:spacing w:after="0"/>
        <w:jc w:val="center"/>
        <w:rPr>
          <w:bCs/>
          <w:u w:val="single"/>
        </w:rPr>
      </w:pPr>
    </w:p>
    <w:p w:rsidR="00A93454" w:rsidRDefault="00A93454" w:rsidP="00F76016">
      <w:pPr>
        <w:spacing w:after="0"/>
        <w:rPr>
          <w:bCs/>
        </w:rPr>
      </w:pPr>
      <w:r w:rsidRPr="00F76016">
        <w:rPr>
          <w:bCs/>
          <w:u w:val="single"/>
        </w:rPr>
        <w:t>Title</w:t>
      </w:r>
      <w:r w:rsidR="00F76016">
        <w:rPr>
          <w:bCs/>
        </w:rPr>
        <w:t xml:space="preserve">: </w:t>
      </w:r>
      <w:r w:rsidR="00F76016" w:rsidRPr="00F76016">
        <w:rPr>
          <w:bCs/>
        </w:rPr>
        <w:t>Identification of extremely preterm infants at low risk for early onset sepsis</w:t>
      </w:r>
    </w:p>
    <w:p w:rsidR="00A93454" w:rsidRDefault="00F76016" w:rsidP="00F76016">
      <w:pPr>
        <w:spacing w:after="0"/>
        <w:rPr>
          <w:bCs/>
        </w:rPr>
      </w:pPr>
      <w:r w:rsidRPr="00F76016">
        <w:rPr>
          <w:bCs/>
          <w:u w:val="single"/>
        </w:rPr>
        <w:t>Author</w:t>
      </w:r>
      <w:r>
        <w:rPr>
          <w:bCs/>
        </w:rPr>
        <w:t xml:space="preserve">: </w:t>
      </w:r>
      <w:proofErr w:type="spellStart"/>
      <w:r w:rsidRPr="00F76016">
        <w:rPr>
          <w:bCs/>
        </w:rPr>
        <w:t>Puopolo</w:t>
      </w:r>
      <w:proofErr w:type="spellEnd"/>
      <w:r w:rsidRPr="00F76016">
        <w:rPr>
          <w:bCs/>
        </w:rPr>
        <w:t xml:space="preserve"> K et al</w:t>
      </w:r>
      <w:r>
        <w:rPr>
          <w:bCs/>
        </w:rPr>
        <w:t>, 2017</w:t>
      </w:r>
    </w:p>
    <w:p w:rsidR="00F76016" w:rsidRDefault="007C59D6" w:rsidP="00F76016">
      <w:pPr>
        <w:spacing w:after="0"/>
        <w:rPr>
          <w:bCs/>
        </w:rPr>
      </w:pPr>
      <w:hyperlink r:id="rId7" w:history="1">
        <w:r w:rsidR="00F76016" w:rsidRPr="00F76016">
          <w:rPr>
            <w:rStyle w:val="Hyperlink"/>
            <w:bCs/>
          </w:rPr>
          <w:t>Link to article</w:t>
        </w:r>
      </w:hyperlink>
    </w:p>
    <w:p w:rsidR="00F76016" w:rsidRDefault="00F76016" w:rsidP="00F76016">
      <w:pPr>
        <w:spacing w:after="0"/>
        <w:rPr>
          <w:bCs/>
        </w:rPr>
      </w:pPr>
    </w:p>
    <w:p w:rsidR="00A93454" w:rsidRPr="00F76016" w:rsidRDefault="00A93454" w:rsidP="00F76016">
      <w:pPr>
        <w:spacing w:after="0"/>
        <w:rPr>
          <w:u w:val="single"/>
        </w:rPr>
      </w:pPr>
      <w:r w:rsidRPr="00F76016">
        <w:rPr>
          <w:bCs/>
          <w:u w:val="single"/>
        </w:rPr>
        <w:t>Key takeaways</w:t>
      </w:r>
    </w:p>
    <w:p w:rsidR="00BD638F" w:rsidRPr="001F7EA0" w:rsidRDefault="00934E36" w:rsidP="00F76016">
      <w:pPr>
        <w:numPr>
          <w:ilvl w:val="0"/>
          <w:numId w:val="1"/>
        </w:numPr>
        <w:spacing w:after="0"/>
      </w:pPr>
      <w:r w:rsidRPr="001F7EA0">
        <w:rPr>
          <w:bCs/>
        </w:rPr>
        <w:t>About 1 in 3 preterm infants can be categorized as low-risk for EOS by delivery criteria</w:t>
      </w:r>
    </w:p>
    <w:p w:rsidR="00BD638F" w:rsidRPr="001F7EA0" w:rsidRDefault="00934E36" w:rsidP="00F76016">
      <w:pPr>
        <w:numPr>
          <w:ilvl w:val="0"/>
          <w:numId w:val="1"/>
        </w:numPr>
        <w:spacing w:after="0"/>
      </w:pPr>
      <w:r w:rsidRPr="001F7EA0">
        <w:rPr>
          <w:bCs/>
        </w:rPr>
        <w:t xml:space="preserve">EOS risk is significantly lower in these infants </w:t>
      </w:r>
    </w:p>
    <w:p w:rsidR="00BD638F" w:rsidRPr="00894ABE" w:rsidRDefault="00934E36" w:rsidP="00F76016">
      <w:pPr>
        <w:numPr>
          <w:ilvl w:val="0"/>
          <w:numId w:val="1"/>
        </w:numPr>
        <w:spacing w:after="0"/>
      </w:pPr>
      <w:r w:rsidRPr="001F7EA0">
        <w:rPr>
          <w:bCs/>
        </w:rPr>
        <w:t>Antibiotics are initiated and continued in a large proportion of low-risk infants</w:t>
      </w:r>
    </w:p>
    <w:p w:rsidR="00894ABE" w:rsidRPr="001F7EA0" w:rsidRDefault="00894ABE" w:rsidP="00B8619B">
      <w:pPr>
        <w:spacing w:after="0"/>
        <w:ind w:left="720"/>
      </w:pPr>
    </w:p>
    <w:p w:rsidR="00DA47BA" w:rsidRPr="00894ABE" w:rsidRDefault="00894ABE" w:rsidP="00894ABE">
      <w:pPr>
        <w:spacing w:after="0"/>
        <w:jc w:val="center"/>
        <w:rPr>
          <w:bCs/>
          <w:color w:val="000000" w:themeColor="text1"/>
          <w:u w:val="single"/>
        </w:rPr>
      </w:pPr>
      <w:r w:rsidRPr="00894ABE">
        <w:rPr>
          <w:color w:val="000000" w:themeColor="text1"/>
          <w:u w:val="single"/>
        </w:rPr>
        <w:t>Publicatio</w:t>
      </w:r>
      <w:r w:rsidR="00B8619B">
        <w:rPr>
          <w:color w:val="000000" w:themeColor="text1"/>
          <w:u w:val="single"/>
        </w:rPr>
        <w:t>n on EOS</w:t>
      </w:r>
      <w:r w:rsidRPr="00894ABE">
        <w:rPr>
          <w:color w:val="000000" w:themeColor="text1"/>
          <w:u w:val="single"/>
        </w:rPr>
        <w:t xml:space="preserve"> risk stratification</w:t>
      </w:r>
    </w:p>
    <w:p w:rsidR="00894ABE" w:rsidRDefault="00894ABE" w:rsidP="00894ABE">
      <w:pPr>
        <w:spacing w:after="0"/>
        <w:jc w:val="center"/>
        <w:rPr>
          <w:bCs/>
          <w:color w:val="FF0000"/>
        </w:rPr>
      </w:pPr>
    </w:p>
    <w:p w:rsidR="00894ABE" w:rsidRPr="00894ABE" w:rsidRDefault="00894ABE" w:rsidP="00894ABE">
      <w:pPr>
        <w:spacing w:after="0"/>
        <w:rPr>
          <w:bCs/>
          <w:color w:val="000000" w:themeColor="text1"/>
        </w:rPr>
      </w:pPr>
      <w:r w:rsidRPr="00894ABE">
        <w:rPr>
          <w:bCs/>
          <w:color w:val="000000" w:themeColor="text1"/>
          <w:u w:val="single"/>
        </w:rPr>
        <w:t>Title:</w:t>
      </w:r>
      <w:r w:rsidRPr="00894ABE">
        <w:rPr>
          <w:bCs/>
          <w:color w:val="000000" w:themeColor="text1"/>
        </w:rPr>
        <w:t xml:space="preserve"> Archives of Fetal and Newborn</w:t>
      </w:r>
    </w:p>
    <w:p w:rsidR="00894ABE" w:rsidRPr="00894ABE" w:rsidRDefault="00894ABE" w:rsidP="00894ABE">
      <w:pPr>
        <w:spacing w:after="0"/>
        <w:rPr>
          <w:bCs/>
          <w:color w:val="000000" w:themeColor="text1"/>
        </w:rPr>
      </w:pPr>
      <w:r w:rsidRPr="00894ABE">
        <w:rPr>
          <w:bCs/>
          <w:color w:val="000000" w:themeColor="text1"/>
          <w:u w:val="single"/>
        </w:rPr>
        <w:t>Author:</w:t>
      </w:r>
      <w:r w:rsidRPr="00894ABE">
        <w:rPr>
          <w:bCs/>
          <w:color w:val="000000" w:themeColor="text1"/>
        </w:rPr>
        <w:t xml:space="preserve"> </w:t>
      </w:r>
      <w:proofErr w:type="spellStart"/>
      <w:r w:rsidRPr="00894ABE">
        <w:rPr>
          <w:bCs/>
          <w:color w:val="000000" w:themeColor="text1"/>
        </w:rPr>
        <w:t>Mukhopadhyay</w:t>
      </w:r>
      <w:proofErr w:type="spellEnd"/>
      <w:r w:rsidRPr="00894ABE">
        <w:rPr>
          <w:bCs/>
          <w:color w:val="000000" w:themeColor="text1"/>
        </w:rPr>
        <w:t xml:space="preserve"> S, 2018</w:t>
      </w:r>
    </w:p>
    <w:p w:rsidR="00894ABE" w:rsidRPr="001F7EA0" w:rsidRDefault="007C59D6" w:rsidP="00894ABE">
      <w:pPr>
        <w:spacing w:after="0"/>
        <w:rPr>
          <w:color w:val="FF0000"/>
        </w:rPr>
      </w:pPr>
      <w:hyperlink r:id="rId8" w:history="1">
        <w:r w:rsidR="00894ABE" w:rsidRPr="007C59D6">
          <w:rPr>
            <w:rStyle w:val="Hyperlink"/>
            <w:bCs/>
          </w:rPr>
          <w:t>Link to Article</w:t>
        </w:r>
      </w:hyperlink>
      <w:bookmarkStart w:id="0" w:name="_GoBack"/>
      <w:bookmarkEnd w:id="0"/>
    </w:p>
    <w:p w:rsidR="00BD638F" w:rsidRPr="001F7EA0" w:rsidRDefault="00934E36" w:rsidP="00894ABE">
      <w:pPr>
        <w:numPr>
          <w:ilvl w:val="0"/>
          <w:numId w:val="3"/>
        </w:numPr>
        <w:spacing w:after="0"/>
      </w:pPr>
      <w:r w:rsidRPr="001F7EA0">
        <w:rPr>
          <w:bCs/>
        </w:rPr>
        <w:t>Implementation of delivery criteria based EOS risk stratification in VLBW is feasible and effective</w:t>
      </w:r>
    </w:p>
    <w:p w:rsidR="00BD638F" w:rsidRPr="001F7EA0" w:rsidRDefault="00934E36" w:rsidP="00894ABE">
      <w:pPr>
        <w:numPr>
          <w:ilvl w:val="0"/>
          <w:numId w:val="3"/>
        </w:numPr>
        <w:spacing w:after="0"/>
      </w:pPr>
      <w:r w:rsidRPr="001F7EA0">
        <w:rPr>
          <w:bCs/>
        </w:rPr>
        <w:t>No case of delayed antibiotics among culture confirmed infection</w:t>
      </w:r>
    </w:p>
    <w:p w:rsidR="00CB2EAB" w:rsidRPr="008F3FD6" w:rsidRDefault="00934E36" w:rsidP="00894ABE">
      <w:pPr>
        <w:numPr>
          <w:ilvl w:val="0"/>
          <w:numId w:val="3"/>
        </w:numPr>
        <w:spacing w:after="0"/>
      </w:pPr>
      <w:r w:rsidRPr="001F7EA0">
        <w:rPr>
          <w:bCs/>
        </w:rPr>
        <w:t>No increase in antibiotic initiation &gt;72 h</w:t>
      </w:r>
    </w:p>
    <w:p w:rsidR="00CB2EAB" w:rsidRPr="001F7EA0" w:rsidRDefault="00CB2EAB" w:rsidP="00CB2EAB">
      <w:pPr>
        <w:spacing w:after="0"/>
      </w:pPr>
    </w:p>
    <w:p w:rsidR="00DA47BA" w:rsidRPr="00F76016" w:rsidRDefault="001F7EA0" w:rsidP="00F76016">
      <w:pPr>
        <w:jc w:val="center"/>
        <w:rPr>
          <w:bCs/>
          <w:u w:val="single"/>
        </w:rPr>
      </w:pPr>
      <w:r w:rsidRPr="00F76016">
        <w:rPr>
          <w:bCs/>
          <w:u w:val="single"/>
        </w:rPr>
        <w:t>Blood Culture Reliability</w:t>
      </w:r>
      <w:r w:rsidR="00CB2EAB" w:rsidRPr="00F76016">
        <w:rPr>
          <w:bCs/>
          <w:u w:val="single"/>
        </w:rPr>
        <w:t xml:space="preserve"> Studies</w:t>
      </w:r>
      <w:r w:rsidRPr="00F76016">
        <w:rPr>
          <w:bCs/>
          <w:u w:val="single"/>
        </w:rPr>
        <w:t>:</w:t>
      </w:r>
    </w:p>
    <w:p w:rsidR="001F7EA0" w:rsidRPr="001F7EA0" w:rsidRDefault="007C59D6" w:rsidP="001F7EA0">
      <w:pPr>
        <w:pStyle w:val="ListParagraph"/>
        <w:numPr>
          <w:ilvl w:val="0"/>
          <w:numId w:val="5"/>
        </w:numPr>
        <w:rPr>
          <w:bCs/>
        </w:rPr>
      </w:pPr>
      <w:hyperlink r:id="rId9" w:history="1">
        <w:proofErr w:type="spellStart"/>
        <w:r w:rsidR="00DA47BA" w:rsidRPr="001F7EA0">
          <w:rPr>
            <w:rStyle w:val="Hyperlink"/>
            <w:bCs/>
          </w:rPr>
          <w:t>Schelonka</w:t>
        </w:r>
        <w:proofErr w:type="spellEnd"/>
        <w:r w:rsidR="00DA47BA" w:rsidRPr="001F7EA0">
          <w:rPr>
            <w:rStyle w:val="Hyperlink"/>
            <w:bCs/>
          </w:rPr>
          <w:t xml:space="preserve"> et al, Journal of Pediatrics, 1996;</w:t>
        </w:r>
      </w:hyperlink>
      <w:r w:rsidR="00DA47BA" w:rsidRPr="001F7EA0">
        <w:rPr>
          <w:bCs/>
        </w:rPr>
        <w:t xml:space="preserve"> </w:t>
      </w:r>
    </w:p>
    <w:p w:rsidR="00DA47BA" w:rsidRPr="001F7EA0" w:rsidRDefault="007C59D6" w:rsidP="001F7EA0">
      <w:pPr>
        <w:pStyle w:val="ListParagraph"/>
        <w:numPr>
          <w:ilvl w:val="0"/>
          <w:numId w:val="5"/>
        </w:numPr>
      </w:pPr>
      <w:hyperlink r:id="rId10" w:history="1">
        <w:r w:rsidR="00DA47BA" w:rsidRPr="001F7EA0">
          <w:rPr>
            <w:rStyle w:val="Hyperlink"/>
            <w:bCs/>
          </w:rPr>
          <w:t xml:space="preserve">Lancaster et al, JCM, 2015 </w:t>
        </w:r>
      </w:hyperlink>
      <w:r w:rsidR="00DA47BA" w:rsidRPr="001F7EA0">
        <w:rPr>
          <w:bCs/>
        </w:rPr>
        <w:t xml:space="preserve"> </w:t>
      </w:r>
    </w:p>
    <w:p w:rsidR="001F7EA0" w:rsidRPr="001F7EA0" w:rsidRDefault="007C59D6" w:rsidP="001F7EA0">
      <w:pPr>
        <w:pStyle w:val="ListParagraph"/>
        <w:numPr>
          <w:ilvl w:val="0"/>
          <w:numId w:val="5"/>
        </w:numPr>
        <w:rPr>
          <w:bCs/>
        </w:rPr>
      </w:pPr>
      <w:hyperlink r:id="rId11" w:history="1">
        <w:r w:rsidR="00DA47BA" w:rsidRPr="001F7EA0">
          <w:rPr>
            <w:rStyle w:val="Hyperlink"/>
            <w:bCs/>
          </w:rPr>
          <w:t>Neal et al, JCM, 1986;</w:t>
        </w:r>
      </w:hyperlink>
      <w:r w:rsidR="00DA47BA" w:rsidRPr="001F7EA0">
        <w:rPr>
          <w:bCs/>
        </w:rPr>
        <w:t xml:space="preserve"> </w:t>
      </w:r>
    </w:p>
    <w:p w:rsidR="00DA47BA" w:rsidRPr="00A93454" w:rsidRDefault="007C59D6" w:rsidP="001F7EA0">
      <w:pPr>
        <w:pStyle w:val="ListParagraph"/>
        <w:numPr>
          <w:ilvl w:val="0"/>
          <w:numId w:val="5"/>
        </w:numPr>
      </w:pPr>
      <w:hyperlink r:id="rId12" w:history="1">
        <w:r w:rsidR="00DA47BA" w:rsidRPr="001F7EA0">
          <w:rPr>
            <w:rStyle w:val="Hyperlink"/>
            <w:bCs/>
          </w:rPr>
          <w:t>Connell et al, Pediatrics, 2007</w:t>
        </w:r>
      </w:hyperlink>
    </w:p>
    <w:p w:rsidR="00A93454" w:rsidRPr="001F7EA0" w:rsidRDefault="00A93454" w:rsidP="00A93454">
      <w:r>
        <w:t>Key takeaways from above publications</w:t>
      </w:r>
    </w:p>
    <w:p w:rsidR="00BD638F" w:rsidRPr="001F7EA0" w:rsidRDefault="00934E36" w:rsidP="00CB2EAB">
      <w:pPr>
        <w:pStyle w:val="ListParagraph"/>
        <w:numPr>
          <w:ilvl w:val="1"/>
          <w:numId w:val="11"/>
        </w:numPr>
      </w:pPr>
      <w:r w:rsidRPr="00CB2EAB">
        <w:rPr>
          <w:bCs/>
        </w:rPr>
        <w:t>Minimum 1 mL inoculate is met in &gt;95% tests</w:t>
      </w:r>
    </w:p>
    <w:p w:rsidR="00BD638F" w:rsidRPr="001F7EA0" w:rsidRDefault="00934E36" w:rsidP="00CB2EAB">
      <w:pPr>
        <w:pStyle w:val="ListParagraph"/>
        <w:numPr>
          <w:ilvl w:val="1"/>
          <w:numId w:val="11"/>
        </w:numPr>
      </w:pPr>
      <w:r w:rsidRPr="00CB2EAB">
        <w:rPr>
          <w:bCs/>
        </w:rPr>
        <w:t>Blood culture results do not have a substitute in management of sepsis currently</w:t>
      </w:r>
    </w:p>
    <w:p w:rsidR="00BD638F" w:rsidRPr="001F7EA0" w:rsidRDefault="00934E36" w:rsidP="00CB2EAB">
      <w:pPr>
        <w:pStyle w:val="ListParagraph"/>
        <w:numPr>
          <w:ilvl w:val="1"/>
          <w:numId w:val="11"/>
        </w:numPr>
      </w:pPr>
      <w:r w:rsidRPr="00CB2EAB">
        <w:rPr>
          <w:bCs/>
        </w:rPr>
        <w:t>Auditing inoculate volumes may optimize this critical test’s output</w:t>
      </w:r>
    </w:p>
    <w:p w:rsidR="00BD638F" w:rsidRPr="001F7EA0" w:rsidRDefault="00934E36" w:rsidP="00CB2EAB">
      <w:pPr>
        <w:pStyle w:val="ListParagraph"/>
        <w:numPr>
          <w:ilvl w:val="2"/>
          <w:numId w:val="11"/>
        </w:numPr>
      </w:pPr>
      <w:r w:rsidRPr="00CB2EAB">
        <w:rPr>
          <w:bCs/>
        </w:rPr>
        <w:t>increase provider confidence in culture results</w:t>
      </w:r>
    </w:p>
    <w:p w:rsidR="00DA47BA" w:rsidRPr="00DA47BA" w:rsidRDefault="00934E36" w:rsidP="00DA47BA">
      <w:pPr>
        <w:pStyle w:val="ListParagraph"/>
        <w:numPr>
          <w:ilvl w:val="2"/>
          <w:numId w:val="11"/>
        </w:numPr>
      </w:pPr>
      <w:r w:rsidRPr="00CB2EAB">
        <w:rPr>
          <w:bCs/>
        </w:rPr>
        <w:t>improve management of true infection</w:t>
      </w:r>
    </w:p>
    <w:p w:rsidR="00DA47BA" w:rsidRDefault="00DA47BA"/>
    <w:sectPr w:rsidR="00DA47BA" w:rsidSect="008F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0F2"/>
    <w:multiLevelType w:val="hybridMultilevel"/>
    <w:tmpl w:val="265AC790"/>
    <w:lvl w:ilvl="0" w:tplc="56522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4E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4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B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0C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E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0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C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590D04"/>
    <w:multiLevelType w:val="hybridMultilevel"/>
    <w:tmpl w:val="2A682594"/>
    <w:lvl w:ilvl="0" w:tplc="FE3E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B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0D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4B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2B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2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E17605"/>
    <w:multiLevelType w:val="hybridMultilevel"/>
    <w:tmpl w:val="FE607000"/>
    <w:lvl w:ilvl="0" w:tplc="3B20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25D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0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6A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E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AC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0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6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A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FE6EF3"/>
    <w:multiLevelType w:val="hybridMultilevel"/>
    <w:tmpl w:val="6DB4F9D0"/>
    <w:lvl w:ilvl="0" w:tplc="2638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DD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C1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A4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02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A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4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936B1B"/>
    <w:multiLevelType w:val="hybridMultilevel"/>
    <w:tmpl w:val="7EBEA418"/>
    <w:lvl w:ilvl="0" w:tplc="9AA07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4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8B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A4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8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2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E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3B7A9E"/>
    <w:multiLevelType w:val="hybridMultilevel"/>
    <w:tmpl w:val="B706D95E"/>
    <w:lvl w:ilvl="0" w:tplc="905E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A4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4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84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8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A2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E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6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DA6BEF"/>
    <w:multiLevelType w:val="hybridMultilevel"/>
    <w:tmpl w:val="F8A0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32501"/>
    <w:multiLevelType w:val="hybridMultilevel"/>
    <w:tmpl w:val="A3DA7170"/>
    <w:lvl w:ilvl="0" w:tplc="4594C7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DF2B10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420DC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67A21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F24A9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E02D0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45CAE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2CA4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A5E741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634634C3"/>
    <w:multiLevelType w:val="hybridMultilevel"/>
    <w:tmpl w:val="B706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F3DB8"/>
    <w:multiLevelType w:val="hybridMultilevel"/>
    <w:tmpl w:val="E44AAAEC"/>
    <w:lvl w:ilvl="0" w:tplc="9FFAD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46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86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8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8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8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86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8E3670"/>
    <w:multiLevelType w:val="hybridMultilevel"/>
    <w:tmpl w:val="4338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A"/>
    <w:rsid w:val="0009341A"/>
    <w:rsid w:val="001F7EA0"/>
    <w:rsid w:val="00655D3C"/>
    <w:rsid w:val="007C59D6"/>
    <w:rsid w:val="00894ABE"/>
    <w:rsid w:val="008F3FD6"/>
    <w:rsid w:val="00934E36"/>
    <w:rsid w:val="00A53277"/>
    <w:rsid w:val="00A93454"/>
    <w:rsid w:val="00B8619B"/>
    <w:rsid w:val="00BD638F"/>
    <w:rsid w:val="00CB2EAB"/>
    <w:rsid w:val="00DA47BA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61872-7E16-49B4-A82C-BEEF8C9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1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22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6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5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92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38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pqc.org/wp-content/uploads/2021/09/Mukhopadhyay_vlbwasp_archives_201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mc/articles/PMC5654397/" TargetMode="External"/><Relationship Id="rId12" Type="http://schemas.openxmlformats.org/officeDocument/2006/relationships/hyperlink" Target="https://pubmed.ncbi.nlm.nih.gov/174730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iatrics.aappublications.org/content/pediatrics/142/6/e20182896.full.pdf" TargetMode="External"/><Relationship Id="rId11" Type="http://schemas.openxmlformats.org/officeDocument/2006/relationships/hyperlink" Target="https://pubmed.ncbi.nlm.nih.gov/376013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mc/articles/PMC4609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peds.com/article/S0022-3476(96)70254-8/full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84D0-7BCD-4177-96B0-92404FAC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Fleming Suse</dc:creator>
  <cp:keywords/>
  <dc:description/>
  <cp:lastModifiedBy>Eileen Fleming Suse</cp:lastModifiedBy>
  <cp:revision>3</cp:revision>
  <dcterms:created xsi:type="dcterms:W3CDTF">2021-09-15T21:58:00Z</dcterms:created>
  <dcterms:modified xsi:type="dcterms:W3CDTF">2021-09-24T20:05:00Z</dcterms:modified>
</cp:coreProperties>
</file>