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92F60" w14:textId="77777777" w:rsidR="005C3DBE" w:rsidRPr="00B91FD4" w:rsidRDefault="00A07D26" w:rsidP="00522FF1">
      <w:pPr>
        <w:jc w:val="center"/>
        <w:rPr>
          <w:b/>
          <w:u w:val="single"/>
        </w:rPr>
      </w:pPr>
      <w:r w:rsidRPr="00B91FD4">
        <w:rPr>
          <w:b/>
          <w:u w:val="single"/>
        </w:rPr>
        <w:t>Data Definitions</w:t>
      </w:r>
      <w:r w:rsidR="00522FF1" w:rsidRPr="00B91FD4">
        <w:rPr>
          <w:b/>
          <w:u w:val="single"/>
        </w:rPr>
        <w:t xml:space="preserve"> Nutrition Project</w:t>
      </w:r>
    </w:p>
    <w:p w14:paraId="1D0B6525" w14:textId="77777777" w:rsidR="00522FF1" w:rsidRDefault="00522FF1" w:rsidP="00522FF1">
      <w:pPr>
        <w:jc w:val="center"/>
      </w:pPr>
    </w:p>
    <w:p w14:paraId="59340C2A" w14:textId="77777777" w:rsidR="00A07D26" w:rsidRDefault="00A07D26">
      <w:r w:rsidRPr="00B91FD4">
        <w:rPr>
          <w:u w:val="single"/>
        </w:rPr>
        <w:t>ID number</w:t>
      </w:r>
      <w:r>
        <w:t xml:space="preserve"> – number assigned by </w:t>
      </w:r>
      <w:r w:rsidR="00522FF1">
        <w:t xml:space="preserve">each </w:t>
      </w:r>
      <w:r>
        <w:t>center to each individual infant</w:t>
      </w:r>
    </w:p>
    <w:p w14:paraId="5C3C70A5" w14:textId="0752E0D9" w:rsidR="00D60AB6" w:rsidRDefault="00D60AB6">
      <w:r w:rsidRPr="00B515F9">
        <w:rPr>
          <w:u w:val="single"/>
        </w:rPr>
        <w:t>Birth date</w:t>
      </w:r>
      <w:r w:rsidRPr="00B515F9">
        <w:t xml:space="preserve"> – mm/</w:t>
      </w:r>
      <w:proofErr w:type="spellStart"/>
      <w:r w:rsidRPr="00B515F9">
        <w:t>dd</w:t>
      </w:r>
      <w:proofErr w:type="spellEnd"/>
      <w:r w:rsidRPr="00B515F9">
        <w:t>/</w:t>
      </w:r>
      <w:proofErr w:type="spellStart"/>
      <w:r w:rsidRPr="00B515F9">
        <w:t>yyyy</w:t>
      </w:r>
      <w:proofErr w:type="spellEnd"/>
      <w:r w:rsidRPr="00B515F9">
        <w:t xml:space="preserve"> format</w:t>
      </w:r>
    </w:p>
    <w:p w14:paraId="745BF856" w14:textId="083D5562" w:rsidR="00D60AB6" w:rsidRDefault="00D60AB6">
      <w:r w:rsidRPr="000F7A5E">
        <w:rPr>
          <w:u w:val="single"/>
        </w:rPr>
        <w:t>Birth gestational age</w:t>
      </w:r>
      <w:r w:rsidRPr="000F7A5E">
        <w:t xml:space="preserve"> – Determined by LMP or early ultrasound primarily. If not, </w:t>
      </w:r>
      <w:r w:rsidR="000F7A5E">
        <w:t xml:space="preserve">use </w:t>
      </w:r>
      <w:r w:rsidRPr="000F7A5E">
        <w:t xml:space="preserve">clinical estimate.  </w:t>
      </w:r>
      <w:r w:rsidR="000F7A5E">
        <w:t>Expressed in weeks</w:t>
      </w:r>
      <w:r w:rsidR="006332C6">
        <w:t xml:space="preserve"> (range 20-42) and days (range 0-6), for example 39w4d.</w:t>
      </w:r>
      <w:bookmarkStart w:id="0" w:name="_GoBack"/>
      <w:bookmarkEnd w:id="0"/>
    </w:p>
    <w:p w14:paraId="3CC38B4A" w14:textId="75F96DA8" w:rsidR="00A07D26" w:rsidRDefault="00A07D26">
      <w:r w:rsidRPr="00B91FD4">
        <w:rPr>
          <w:u w:val="single"/>
        </w:rPr>
        <w:t>Weight</w:t>
      </w:r>
      <w:r>
        <w:t xml:space="preserve"> – enter </w:t>
      </w:r>
      <w:r w:rsidR="00522FF1">
        <w:t xml:space="preserve">in </w:t>
      </w:r>
      <w:r w:rsidR="00522FF1" w:rsidRPr="00B515F9">
        <w:t>grams</w:t>
      </w:r>
      <w:r w:rsidR="00522FF1">
        <w:t xml:space="preserve"> </w:t>
      </w:r>
      <w:r w:rsidR="006332C6">
        <w:t>(range</w:t>
      </w:r>
      <w:r>
        <w:t xml:space="preserve"> </w:t>
      </w:r>
      <w:r w:rsidR="00B676EA">
        <w:t>250</w:t>
      </w:r>
      <w:r w:rsidR="006332C6">
        <w:t>-6</w:t>
      </w:r>
      <w:r w:rsidR="00B676EA">
        <w:t>000</w:t>
      </w:r>
      <w:r w:rsidR="006332C6">
        <w:t xml:space="preserve"> </w:t>
      </w:r>
      <w:r w:rsidR="00B676EA">
        <w:t xml:space="preserve">g) with 4 significant digits </w:t>
      </w:r>
      <w:r w:rsidR="00B515F9">
        <w:t>(i.e.</w:t>
      </w:r>
      <w:r w:rsidR="00B676EA">
        <w:t xml:space="preserve"> 1235</w:t>
      </w:r>
      <w:r w:rsidR="006332C6">
        <w:t xml:space="preserve"> </w:t>
      </w:r>
      <w:r>
        <w:t>g</w:t>
      </w:r>
      <w:r w:rsidR="00B515F9">
        <w:t>)</w:t>
      </w:r>
    </w:p>
    <w:p w14:paraId="34C35C2B" w14:textId="0F3C2884" w:rsidR="00A07D26" w:rsidRDefault="00A07D26">
      <w:r w:rsidRPr="00B91FD4">
        <w:rPr>
          <w:u w:val="single"/>
        </w:rPr>
        <w:t>HC</w:t>
      </w:r>
      <w:r>
        <w:t xml:space="preserve">= head circumference in cm to nearest </w:t>
      </w:r>
      <w:r w:rsidR="00B515F9">
        <w:t>tenth</w:t>
      </w:r>
      <w:r>
        <w:t xml:space="preserve"> </w:t>
      </w:r>
      <w:r w:rsidR="00522FF1">
        <w:t>(</w:t>
      </w:r>
      <w:r>
        <w:t>range 15</w:t>
      </w:r>
      <w:r w:rsidR="00B515F9">
        <w:t>.0</w:t>
      </w:r>
      <w:r>
        <w:t>-50</w:t>
      </w:r>
      <w:r w:rsidR="00B515F9">
        <w:t>.0</w:t>
      </w:r>
      <w:r>
        <w:t xml:space="preserve"> cm</w:t>
      </w:r>
      <w:r w:rsidR="00522FF1">
        <w:t>)</w:t>
      </w:r>
    </w:p>
    <w:p w14:paraId="45B39FA2" w14:textId="027BE748" w:rsidR="00A07D26" w:rsidRDefault="00A07D26">
      <w:r w:rsidRPr="00B91FD4">
        <w:rPr>
          <w:u w:val="single"/>
        </w:rPr>
        <w:t>Length</w:t>
      </w:r>
      <w:r>
        <w:t xml:space="preserve"> – in cm to nearest </w:t>
      </w:r>
      <w:r w:rsidR="00B515F9">
        <w:t>tenth</w:t>
      </w:r>
      <w:r>
        <w:t xml:space="preserve"> </w:t>
      </w:r>
      <w:r w:rsidR="00522FF1">
        <w:t>(</w:t>
      </w:r>
      <w:r>
        <w:t>range 25</w:t>
      </w:r>
      <w:r w:rsidR="00B515F9">
        <w:t>.0</w:t>
      </w:r>
      <w:r>
        <w:t>-60</w:t>
      </w:r>
      <w:r w:rsidR="00B515F9">
        <w:t>.0</w:t>
      </w:r>
      <w:r>
        <w:t xml:space="preserve"> cm</w:t>
      </w:r>
      <w:r w:rsidR="00522FF1">
        <w:t>)</w:t>
      </w:r>
    </w:p>
    <w:p w14:paraId="16FFE4AB" w14:textId="21BE6FCC" w:rsidR="00B91FD4" w:rsidRPr="00745940" w:rsidRDefault="00B91FD4">
      <w:pPr>
        <w:rPr>
          <w:color w:val="70AD47" w:themeColor="accent6"/>
        </w:rPr>
      </w:pPr>
      <w:r w:rsidRPr="00B91FD4">
        <w:rPr>
          <w:u w:val="single"/>
        </w:rPr>
        <w:t>Percentiles</w:t>
      </w:r>
      <w:r>
        <w:t xml:space="preserve"> based </w:t>
      </w:r>
      <w:r w:rsidRPr="00B515F9">
        <w:t xml:space="preserve">on </w:t>
      </w:r>
      <w:r w:rsidR="001A4FC5" w:rsidRPr="00B515F9">
        <w:t xml:space="preserve">Fenton </w:t>
      </w:r>
      <w:r w:rsidRPr="00B515F9">
        <w:t>growth charts</w:t>
      </w:r>
      <w:r>
        <w:t xml:space="preserve"> </w:t>
      </w:r>
    </w:p>
    <w:p w14:paraId="71F42D4A" w14:textId="77777777" w:rsidR="00A07D26" w:rsidRDefault="00522FF1">
      <w:r w:rsidRPr="00B91FD4">
        <w:rPr>
          <w:u w:val="single"/>
        </w:rPr>
        <w:t>DOL</w:t>
      </w:r>
      <w:r>
        <w:t xml:space="preserve"> = day of life; </w:t>
      </w:r>
      <w:r w:rsidR="00A07D26">
        <w:t xml:space="preserve">date of birth = day </w:t>
      </w:r>
      <w:r>
        <w:t xml:space="preserve">of life </w:t>
      </w:r>
      <w:r w:rsidR="00A07D26">
        <w:t>1</w:t>
      </w:r>
    </w:p>
    <w:p w14:paraId="3F7A606D" w14:textId="7B2D46A5" w:rsidR="00522FF1" w:rsidRDefault="00522FF1">
      <w:r w:rsidRPr="00B91FD4">
        <w:rPr>
          <w:u w:val="single"/>
        </w:rPr>
        <w:t>36 weeks CA</w:t>
      </w:r>
      <w:r>
        <w:t xml:space="preserve"> – when infant reaches 36 </w:t>
      </w:r>
      <w:r w:rsidRPr="00B515F9">
        <w:t>w</w:t>
      </w:r>
      <w:r w:rsidR="00B676EA" w:rsidRPr="00B515F9">
        <w:t>eek</w:t>
      </w:r>
      <w:r w:rsidRPr="00B515F9">
        <w:t xml:space="preserve">s </w:t>
      </w:r>
      <w:r w:rsidR="00B515F9" w:rsidRPr="00B515F9">
        <w:t>post-conceptual age</w:t>
      </w:r>
      <w:r w:rsidR="00B515F9">
        <w:t xml:space="preserve"> (gestational age + birth age)</w:t>
      </w:r>
    </w:p>
    <w:p w14:paraId="54D208D8" w14:textId="77777777" w:rsidR="00B91FD4" w:rsidRDefault="00B91FD4">
      <w:r w:rsidRPr="00B91FD4">
        <w:rPr>
          <w:u w:val="single"/>
        </w:rPr>
        <w:t>Discharge</w:t>
      </w:r>
      <w:r>
        <w:t xml:space="preserve"> – when infant leaves your center – home or transfer</w:t>
      </w:r>
    </w:p>
    <w:p w14:paraId="18AA18BE" w14:textId="191F0F6C" w:rsidR="00522FF1" w:rsidRDefault="00522FF1">
      <w:r w:rsidRPr="00B91FD4">
        <w:rPr>
          <w:u w:val="single"/>
        </w:rPr>
        <w:t xml:space="preserve">TPN </w:t>
      </w:r>
      <w:r>
        <w:t>– fluids</w:t>
      </w:r>
      <w:r w:rsidR="00B676EA">
        <w:t xml:space="preserve"> containing glucose and protein</w:t>
      </w:r>
    </w:p>
    <w:p w14:paraId="5083F56F" w14:textId="43649C74" w:rsidR="00522FF1" w:rsidRDefault="00522FF1">
      <w:r w:rsidRPr="00B91FD4">
        <w:rPr>
          <w:u w:val="single"/>
        </w:rPr>
        <w:t>Hour of life</w:t>
      </w:r>
      <w:r>
        <w:t xml:space="preserve"> TPN and lipids started – birth = zero, to nearest </w:t>
      </w:r>
      <w:r w:rsidR="00A73C50" w:rsidRPr="00B515F9">
        <w:t>hour</w:t>
      </w:r>
      <w:r>
        <w:t xml:space="preserve"> </w:t>
      </w:r>
      <w:r w:rsidR="00B91FD4">
        <w:t>(</w:t>
      </w:r>
      <w:r>
        <w:t>range 0-</w:t>
      </w:r>
      <w:r w:rsidR="00B91FD4">
        <w:t>180)</w:t>
      </w:r>
    </w:p>
    <w:p w14:paraId="716B76F1" w14:textId="77777777" w:rsidR="00522FF1" w:rsidRDefault="00522FF1">
      <w:r w:rsidRPr="00B91FD4">
        <w:rPr>
          <w:u w:val="single"/>
        </w:rPr>
        <w:t>Lipids</w:t>
      </w:r>
      <w:r>
        <w:t>- intravenous fat emulsion</w:t>
      </w:r>
    </w:p>
    <w:p w14:paraId="42BEF0AA" w14:textId="77777777" w:rsidR="00522FF1" w:rsidRDefault="00522FF1">
      <w:r w:rsidRPr="00B91FD4">
        <w:rPr>
          <w:u w:val="single"/>
        </w:rPr>
        <w:t>Breast milk</w:t>
      </w:r>
      <w:r>
        <w:t xml:space="preserve"> – mothers or donor milk</w:t>
      </w:r>
    </w:p>
    <w:p w14:paraId="32238000" w14:textId="77777777" w:rsidR="00522FF1" w:rsidRDefault="00522FF1">
      <w:r w:rsidRPr="00B91FD4">
        <w:rPr>
          <w:u w:val="single"/>
        </w:rPr>
        <w:t xml:space="preserve">Probiotics </w:t>
      </w:r>
      <w:r>
        <w:t xml:space="preserve">– any </w:t>
      </w:r>
      <w:r w:rsidR="00B91FD4">
        <w:t xml:space="preserve">enteral </w:t>
      </w:r>
      <w:r>
        <w:t>bacterial supplement</w:t>
      </w:r>
    </w:p>
    <w:p w14:paraId="12FC2C45" w14:textId="60CAA1FB" w:rsidR="00B515F9" w:rsidRDefault="00B515F9" w:rsidP="00D60AB6">
      <w:pPr>
        <w:rPr>
          <w:highlight w:val="yellow"/>
          <w:u w:val="single"/>
        </w:rPr>
      </w:pPr>
      <w:r w:rsidRPr="00B515F9">
        <w:rPr>
          <w:u w:val="single"/>
        </w:rPr>
        <w:t xml:space="preserve">SGA (Small for gestational age) – </w:t>
      </w:r>
      <w:r w:rsidRPr="00B515F9">
        <w:t>Indicates</w:t>
      </w:r>
      <w:r>
        <w:t xml:space="preserve"> </w:t>
      </w:r>
      <w:r w:rsidRPr="00B515F9">
        <w:t>whether the infant is in the 10th percentile for birth weight, based on the infant’s gestational age, maternal race, and infant gender. SGA is coded "Yes" if the infant’s birth weight is less than the 10th percentile value and is coded "No" if the infant’s birth weight is not less than the 10th percentile value. SGA may be coded "Unknown" if there are missing values for gestational age, maternal race, or gender.</w:t>
      </w:r>
    </w:p>
    <w:p w14:paraId="16F25C77" w14:textId="4B0ACF78" w:rsidR="00D60AB6" w:rsidRPr="00B515F9" w:rsidRDefault="00B91FD4" w:rsidP="00D60AB6">
      <w:r w:rsidRPr="00B515F9">
        <w:rPr>
          <w:u w:val="single"/>
        </w:rPr>
        <w:t xml:space="preserve">NEC </w:t>
      </w:r>
      <w:r w:rsidRPr="00B515F9">
        <w:t xml:space="preserve">– </w:t>
      </w:r>
      <w:r w:rsidR="00D60AB6" w:rsidRPr="00B515F9">
        <w:t>Answer “</w:t>
      </w:r>
      <w:r w:rsidR="00D60AB6" w:rsidRPr="00B515F9">
        <w:rPr>
          <w:b/>
        </w:rPr>
        <w:t>Yes</w:t>
      </w:r>
      <w:r w:rsidR="00D60AB6" w:rsidRPr="00B515F9">
        <w:t xml:space="preserve">” if the infant had Necrotizing </w:t>
      </w:r>
      <w:proofErr w:type="spellStart"/>
      <w:r w:rsidR="00D60AB6" w:rsidRPr="00B515F9">
        <w:t>Enterocolitis</w:t>
      </w:r>
      <w:proofErr w:type="spellEnd"/>
      <w:r w:rsidR="00D60AB6" w:rsidRPr="00B515F9">
        <w:t xml:space="preserve"> (NEC) diagnosed at surgery, at postmortem examination or clinically and </w:t>
      </w:r>
      <w:proofErr w:type="spellStart"/>
      <w:r w:rsidR="00D60AB6" w:rsidRPr="00B515F9">
        <w:t>radiographically</w:t>
      </w:r>
      <w:proofErr w:type="spellEnd"/>
      <w:r w:rsidR="00D60AB6" w:rsidRPr="00B515F9">
        <w:t xml:space="preserve"> using the following criteria:</w:t>
      </w:r>
    </w:p>
    <w:p w14:paraId="0436F2BC" w14:textId="6D24F885" w:rsidR="00D60AB6" w:rsidRPr="00B515F9" w:rsidRDefault="00D60AB6" w:rsidP="00F42B4D">
      <w:pPr>
        <w:pStyle w:val="ListParagraph"/>
        <w:numPr>
          <w:ilvl w:val="0"/>
          <w:numId w:val="1"/>
        </w:numPr>
        <w:snapToGrid w:val="0"/>
        <w:spacing w:line="240" w:lineRule="auto"/>
        <w:contextualSpacing/>
      </w:pPr>
      <w:r w:rsidRPr="00B515F9">
        <w:t>One or more of the following clinical signs present:</w:t>
      </w:r>
    </w:p>
    <w:p w14:paraId="5ED48342" w14:textId="79F662BD" w:rsidR="00D60AB6" w:rsidRPr="00B515F9" w:rsidRDefault="00F42B4D" w:rsidP="00F42B4D">
      <w:pPr>
        <w:pStyle w:val="ListParagraph"/>
        <w:numPr>
          <w:ilvl w:val="0"/>
          <w:numId w:val="2"/>
        </w:numPr>
        <w:snapToGrid w:val="0"/>
        <w:spacing w:line="240" w:lineRule="auto"/>
        <w:contextualSpacing/>
      </w:pPr>
      <w:proofErr w:type="spellStart"/>
      <w:r w:rsidRPr="00B515F9">
        <w:t>Billious</w:t>
      </w:r>
      <w:proofErr w:type="spellEnd"/>
      <w:r w:rsidRPr="00B515F9">
        <w:t xml:space="preserve"> gastric aspirate or emesis</w:t>
      </w:r>
    </w:p>
    <w:p w14:paraId="64A4AA4C" w14:textId="4A17D653" w:rsidR="00F42B4D" w:rsidRPr="00B515F9" w:rsidRDefault="00F42B4D" w:rsidP="00F42B4D">
      <w:pPr>
        <w:pStyle w:val="ListParagraph"/>
        <w:numPr>
          <w:ilvl w:val="0"/>
          <w:numId w:val="2"/>
        </w:numPr>
        <w:snapToGrid w:val="0"/>
        <w:spacing w:line="240" w:lineRule="auto"/>
        <w:contextualSpacing/>
      </w:pPr>
      <w:r w:rsidRPr="00B515F9">
        <w:t>Abdominal distension</w:t>
      </w:r>
    </w:p>
    <w:p w14:paraId="5C6281BB" w14:textId="68C23F67" w:rsidR="00F42B4D" w:rsidRPr="00B515F9" w:rsidRDefault="00F42B4D" w:rsidP="00F42B4D">
      <w:pPr>
        <w:pStyle w:val="ListParagraph"/>
        <w:numPr>
          <w:ilvl w:val="0"/>
          <w:numId w:val="2"/>
        </w:numPr>
        <w:snapToGrid w:val="0"/>
        <w:spacing w:line="240" w:lineRule="auto"/>
        <w:contextualSpacing/>
      </w:pPr>
      <w:r w:rsidRPr="00B515F9">
        <w:t>Occult or gross blood in stool in the absence of fissure</w:t>
      </w:r>
    </w:p>
    <w:p w14:paraId="612BA5F6" w14:textId="77777777" w:rsidR="00F42B4D" w:rsidRPr="00B515F9" w:rsidRDefault="00F42B4D" w:rsidP="00F42B4D">
      <w:pPr>
        <w:pStyle w:val="ListParagraph"/>
        <w:snapToGrid w:val="0"/>
        <w:spacing w:line="240" w:lineRule="auto"/>
        <w:ind w:left="1440"/>
        <w:contextualSpacing/>
      </w:pPr>
    </w:p>
    <w:p w14:paraId="628AB431" w14:textId="6276D4FE" w:rsidR="00F42B4D" w:rsidRPr="00B515F9" w:rsidRDefault="00F42B4D" w:rsidP="00F42B4D">
      <w:pPr>
        <w:pStyle w:val="ListParagraph"/>
        <w:snapToGrid w:val="0"/>
        <w:spacing w:line="240" w:lineRule="auto"/>
        <w:ind w:left="1440" w:hanging="720"/>
        <w:contextualSpacing/>
      </w:pPr>
      <w:r w:rsidRPr="00B515F9">
        <w:t xml:space="preserve">        AND,</w:t>
      </w:r>
    </w:p>
    <w:p w14:paraId="7E2FB63B" w14:textId="77777777" w:rsidR="00F42B4D" w:rsidRPr="00B515F9" w:rsidRDefault="00F42B4D" w:rsidP="00F42B4D">
      <w:pPr>
        <w:pStyle w:val="ListParagraph"/>
        <w:snapToGrid w:val="0"/>
        <w:spacing w:line="240" w:lineRule="auto"/>
        <w:ind w:left="1440" w:hanging="720"/>
        <w:contextualSpacing/>
      </w:pPr>
    </w:p>
    <w:p w14:paraId="45AD0D27" w14:textId="41253FD2" w:rsidR="00F42B4D" w:rsidRPr="00B515F9" w:rsidRDefault="00F42B4D" w:rsidP="00F42B4D">
      <w:pPr>
        <w:pStyle w:val="ListParagraph"/>
        <w:numPr>
          <w:ilvl w:val="0"/>
          <w:numId w:val="1"/>
        </w:numPr>
        <w:snapToGrid w:val="0"/>
        <w:spacing w:line="240" w:lineRule="auto"/>
        <w:contextualSpacing/>
      </w:pPr>
      <w:r w:rsidRPr="00B515F9">
        <w:t>One or more of the following radiographic findings present</w:t>
      </w:r>
    </w:p>
    <w:p w14:paraId="03D5EE57" w14:textId="72CBE57A" w:rsidR="00F42B4D" w:rsidRPr="00B515F9" w:rsidRDefault="00F42B4D" w:rsidP="00F42B4D">
      <w:pPr>
        <w:pStyle w:val="ListParagraph"/>
        <w:numPr>
          <w:ilvl w:val="0"/>
          <w:numId w:val="3"/>
        </w:numPr>
        <w:snapToGrid w:val="0"/>
        <w:spacing w:line="240" w:lineRule="auto"/>
        <w:contextualSpacing/>
      </w:pPr>
      <w:proofErr w:type="spellStart"/>
      <w:r w:rsidRPr="00B515F9">
        <w:t>Pneumatosis</w:t>
      </w:r>
      <w:proofErr w:type="spellEnd"/>
      <w:r w:rsidRPr="00B515F9">
        <w:t xml:space="preserve"> </w:t>
      </w:r>
      <w:proofErr w:type="spellStart"/>
      <w:r w:rsidRPr="00B515F9">
        <w:t>intestinalis</w:t>
      </w:r>
      <w:proofErr w:type="spellEnd"/>
    </w:p>
    <w:p w14:paraId="4D0E2851" w14:textId="7E184F8E" w:rsidR="00F42B4D" w:rsidRPr="00B515F9" w:rsidRDefault="00F42B4D" w:rsidP="00F42B4D">
      <w:pPr>
        <w:pStyle w:val="ListParagraph"/>
        <w:numPr>
          <w:ilvl w:val="0"/>
          <w:numId w:val="3"/>
        </w:numPr>
        <w:snapToGrid w:val="0"/>
        <w:spacing w:line="240" w:lineRule="auto"/>
        <w:contextualSpacing/>
      </w:pPr>
      <w:proofErr w:type="spellStart"/>
      <w:r w:rsidRPr="00B515F9">
        <w:lastRenderedPageBreak/>
        <w:t>Hepato</w:t>
      </w:r>
      <w:proofErr w:type="spellEnd"/>
      <w:r w:rsidRPr="00B515F9">
        <w:t>-biliary gas</w:t>
      </w:r>
    </w:p>
    <w:p w14:paraId="27297FCB" w14:textId="05B0FF5D" w:rsidR="00F42B4D" w:rsidRPr="00B515F9" w:rsidRDefault="00F42B4D" w:rsidP="00F42B4D">
      <w:pPr>
        <w:pStyle w:val="ListParagraph"/>
        <w:numPr>
          <w:ilvl w:val="0"/>
          <w:numId w:val="3"/>
        </w:numPr>
        <w:snapToGrid w:val="0"/>
        <w:spacing w:line="240" w:lineRule="auto"/>
        <w:contextualSpacing/>
      </w:pPr>
      <w:proofErr w:type="spellStart"/>
      <w:r w:rsidRPr="00B515F9">
        <w:t>Pneumoperitoneum</w:t>
      </w:r>
      <w:proofErr w:type="spellEnd"/>
    </w:p>
    <w:p w14:paraId="7241412A" w14:textId="7772EF9E" w:rsidR="00F42B4D" w:rsidRPr="00B515F9" w:rsidRDefault="00F42B4D" w:rsidP="00F42B4D">
      <w:pPr>
        <w:snapToGrid w:val="0"/>
        <w:spacing w:line="240" w:lineRule="auto"/>
        <w:contextualSpacing/>
      </w:pPr>
      <w:r w:rsidRPr="00B515F9">
        <w:t xml:space="preserve">         Answer “No” id the infant did not satisfy the above definition of NEC</w:t>
      </w:r>
    </w:p>
    <w:p w14:paraId="0F5F74EA" w14:textId="77777777" w:rsidR="00F42B4D" w:rsidRPr="00B515F9" w:rsidRDefault="00F42B4D" w:rsidP="00F42B4D">
      <w:pPr>
        <w:snapToGrid w:val="0"/>
        <w:spacing w:line="240" w:lineRule="auto"/>
        <w:contextualSpacing/>
      </w:pPr>
    </w:p>
    <w:p w14:paraId="5C14F9DE" w14:textId="49FCA030" w:rsidR="00F42B4D" w:rsidRPr="00B515F9" w:rsidRDefault="00F42B4D" w:rsidP="00F42B4D">
      <w:pPr>
        <w:snapToGrid w:val="0"/>
        <w:spacing w:line="240" w:lineRule="auto"/>
        <w:contextualSpacing/>
      </w:pPr>
      <w:r w:rsidRPr="00B515F9">
        <w:t>Discharge date – mm/</w:t>
      </w:r>
      <w:proofErr w:type="spellStart"/>
      <w:r w:rsidRPr="00B515F9">
        <w:t>dd</w:t>
      </w:r>
      <w:proofErr w:type="spellEnd"/>
      <w:r w:rsidRPr="00B515F9">
        <w:t>/</w:t>
      </w:r>
      <w:proofErr w:type="spellStart"/>
      <w:r w:rsidRPr="00B515F9">
        <w:t>yyyy</w:t>
      </w:r>
      <w:proofErr w:type="spellEnd"/>
      <w:r w:rsidRPr="00B515F9">
        <w:t xml:space="preserve"> format</w:t>
      </w:r>
    </w:p>
    <w:p w14:paraId="1466E219" w14:textId="680D3BCF" w:rsidR="00F42B4D" w:rsidRDefault="00F42B4D" w:rsidP="00F42B4D">
      <w:pPr>
        <w:snapToGrid w:val="0"/>
        <w:spacing w:line="240" w:lineRule="auto"/>
        <w:contextualSpacing/>
      </w:pPr>
      <w:r w:rsidRPr="00B515F9">
        <w:t>Discharge post</w:t>
      </w:r>
      <w:r w:rsidR="00A73C50" w:rsidRPr="00B515F9">
        <w:t>-</w:t>
      </w:r>
      <w:r w:rsidRPr="00B515F9">
        <w:t>co</w:t>
      </w:r>
      <w:r w:rsidR="00A73C50" w:rsidRPr="00B515F9">
        <w:t>n</w:t>
      </w:r>
      <w:r w:rsidRPr="00B515F9">
        <w:t>ceptual age – Add postnatal days to the birth gestational age and e</w:t>
      </w:r>
      <w:r w:rsidR="000F7A5E" w:rsidRPr="00B515F9">
        <w:t>xpressed in weeks</w:t>
      </w:r>
      <w:r w:rsidR="006332C6">
        <w:t xml:space="preserve"> and days</w:t>
      </w:r>
      <w:r w:rsidR="000F7A5E" w:rsidRPr="00B515F9">
        <w:t>.</w:t>
      </w:r>
    </w:p>
    <w:p w14:paraId="0AA7F72D" w14:textId="77777777" w:rsidR="00F42B4D" w:rsidRPr="00D60AB6" w:rsidRDefault="00F42B4D" w:rsidP="00F42B4D">
      <w:pPr>
        <w:pStyle w:val="ListParagraph"/>
        <w:snapToGrid w:val="0"/>
        <w:spacing w:line="240" w:lineRule="auto"/>
        <w:ind w:left="1440"/>
        <w:contextualSpacing/>
      </w:pPr>
    </w:p>
    <w:p w14:paraId="6AD1FA40" w14:textId="083ABB28" w:rsidR="00522FF1" w:rsidRPr="00745940" w:rsidRDefault="00522FF1">
      <w:pPr>
        <w:rPr>
          <w:b/>
          <w:color w:val="FF0000"/>
          <w:u w:val="single"/>
        </w:rPr>
      </w:pPr>
    </w:p>
    <w:sectPr w:rsidR="00522FF1" w:rsidRPr="00745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F1F7D"/>
    <w:multiLevelType w:val="hybridMultilevel"/>
    <w:tmpl w:val="18B2C488"/>
    <w:lvl w:ilvl="0" w:tplc="8FA431B4">
      <w:start w:val="1"/>
      <w:numFmt w:val="lowerLetter"/>
      <w:lvlText w:val="%1)"/>
      <w:lvlJc w:val="left"/>
      <w:pPr>
        <w:ind w:left="1440" w:hanging="360"/>
      </w:pPr>
      <w:rPr>
        <w:rFonts w:hint="default"/>
      </w:rPr>
    </w:lvl>
    <w:lvl w:ilvl="1" w:tplc="04090017" w:tentative="1">
      <w:start w:val="1"/>
      <w:numFmt w:val="aiueoFullWidth"/>
      <w:lvlText w:val="(%2)"/>
      <w:lvlJc w:val="left"/>
      <w:pPr>
        <w:ind w:left="2040" w:hanging="480"/>
      </w:pPr>
    </w:lvl>
    <w:lvl w:ilvl="2" w:tplc="04090011" w:tentative="1">
      <w:start w:val="1"/>
      <w:numFmt w:val="decimalEnclosedCircle"/>
      <w:lvlText w:val="%3"/>
      <w:lvlJc w:val="left"/>
      <w:pPr>
        <w:ind w:left="2520" w:hanging="480"/>
      </w:pPr>
    </w:lvl>
    <w:lvl w:ilvl="3" w:tplc="0409000F" w:tentative="1">
      <w:start w:val="1"/>
      <w:numFmt w:val="decimal"/>
      <w:lvlText w:val="%4."/>
      <w:lvlJc w:val="left"/>
      <w:pPr>
        <w:ind w:left="3000" w:hanging="480"/>
      </w:pPr>
    </w:lvl>
    <w:lvl w:ilvl="4" w:tplc="04090017" w:tentative="1">
      <w:start w:val="1"/>
      <w:numFmt w:val="aiueoFullWidth"/>
      <w:lvlText w:val="(%5)"/>
      <w:lvlJc w:val="left"/>
      <w:pPr>
        <w:ind w:left="3480" w:hanging="480"/>
      </w:pPr>
    </w:lvl>
    <w:lvl w:ilvl="5" w:tplc="04090011" w:tentative="1">
      <w:start w:val="1"/>
      <w:numFmt w:val="decimalEnclosedCircle"/>
      <w:lvlText w:val="%6"/>
      <w:lvlJc w:val="left"/>
      <w:pPr>
        <w:ind w:left="3960" w:hanging="480"/>
      </w:pPr>
    </w:lvl>
    <w:lvl w:ilvl="6" w:tplc="0409000F" w:tentative="1">
      <w:start w:val="1"/>
      <w:numFmt w:val="decimal"/>
      <w:lvlText w:val="%7."/>
      <w:lvlJc w:val="left"/>
      <w:pPr>
        <w:ind w:left="4440" w:hanging="480"/>
      </w:pPr>
    </w:lvl>
    <w:lvl w:ilvl="7" w:tplc="04090017" w:tentative="1">
      <w:start w:val="1"/>
      <w:numFmt w:val="aiueoFullWidth"/>
      <w:lvlText w:val="(%8)"/>
      <w:lvlJc w:val="left"/>
      <w:pPr>
        <w:ind w:left="4920" w:hanging="480"/>
      </w:pPr>
    </w:lvl>
    <w:lvl w:ilvl="8" w:tplc="04090011" w:tentative="1">
      <w:start w:val="1"/>
      <w:numFmt w:val="decimalEnclosedCircle"/>
      <w:lvlText w:val="%9"/>
      <w:lvlJc w:val="left"/>
      <w:pPr>
        <w:ind w:left="5400" w:hanging="480"/>
      </w:pPr>
    </w:lvl>
  </w:abstractNum>
  <w:abstractNum w:abstractNumId="1">
    <w:nsid w:val="708915BB"/>
    <w:multiLevelType w:val="hybridMultilevel"/>
    <w:tmpl w:val="025E2FA2"/>
    <w:lvl w:ilvl="0" w:tplc="56F0AE22">
      <w:start w:val="1"/>
      <w:numFmt w:val="decimal"/>
      <w:lvlText w:val="%1."/>
      <w:lvlJc w:val="left"/>
      <w:pPr>
        <w:ind w:left="1080" w:hanging="360"/>
      </w:pPr>
      <w:rPr>
        <w:rFonts w:hint="default"/>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2">
    <w:nsid w:val="7C355FDE"/>
    <w:multiLevelType w:val="hybridMultilevel"/>
    <w:tmpl w:val="A5E4880C"/>
    <w:lvl w:ilvl="0" w:tplc="1BFE4B9A">
      <w:start w:val="1"/>
      <w:numFmt w:val="lowerLetter"/>
      <w:lvlText w:val="%1)"/>
      <w:lvlJc w:val="left"/>
      <w:pPr>
        <w:ind w:left="1440" w:hanging="360"/>
      </w:pPr>
      <w:rPr>
        <w:rFonts w:hint="default"/>
      </w:rPr>
    </w:lvl>
    <w:lvl w:ilvl="1" w:tplc="04090017" w:tentative="1">
      <w:start w:val="1"/>
      <w:numFmt w:val="aiueoFullWidth"/>
      <w:lvlText w:val="(%2)"/>
      <w:lvlJc w:val="left"/>
      <w:pPr>
        <w:ind w:left="2040" w:hanging="480"/>
      </w:pPr>
    </w:lvl>
    <w:lvl w:ilvl="2" w:tplc="04090011" w:tentative="1">
      <w:start w:val="1"/>
      <w:numFmt w:val="decimalEnclosedCircle"/>
      <w:lvlText w:val="%3"/>
      <w:lvlJc w:val="left"/>
      <w:pPr>
        <w:ind w:left="2520" w:hanging="480"/>
      </w:pPr>
    </w:lvl>
    <w:lvl w:ilvl="3" w:tplc="0409000F" w:tentative="1">
      <w:start w:val="1"/>
      <w:numFmt w:val="decimal"/>
      <w:lvlText w:val="%4."/>
      <w:lvlJc w:val="left"/>
      <w:pPr>
        <w:ind w:left="3000" w:hanging="480"/>
      </w:pPr>
    </w:lvl>
    <w:lvl w:ilvl="4" w:tplc="04090017" w:tentative="1">
      <w:start w:val="1"/>
      <w:numFmt w:val="aiueoFullWidth"/>
      <w:lvlText w:val="(%5)"/>
      <w:lvlJc w:val="left"/>
      <w:pPr>
        <w:ind w:left="3480" w:hanging="480"/>
      </w:pPr>
    </w:lvl>
    <w:lvl w:ilvl="5" w:tplc="04090011" w:tentative="1">
      <w:start w:val="1"/>
      <w:numFmt w:val="decimalEnclosedCircle"/>
      <w:lvlText w:val="%6"/>
      <w:lvlJc w:val="left"/>
      <w:pPr>
        <w:ind w:left="3960" w:hanging="480"/>
      </w:pPr>
    </w:lvl>
    <w:lvl w:ilvl="6" w:tplc="0409000F" w:tentative="1">
      <w:start w:val="1"/>
      <w:numFmt w:val="decimal"/>
      <w:lvlText w:val="%7."/>
      <w:lvlJc w:val="left"/>
      <w:pPr>
        <w:ind w:left="4440" w:hanging="480"/>
      </w:pPr>
    </w:lvl>
    <w:lvl w:ilvl="7" w:tplc="04090017" w:tentative="1">
      <w:start w:val="1"/>
      <w:numFmt w:val="aiueoFullWidth"/>
      <w:lvlText w:val="(%8)"/>
      <w:lvlJc w:val="left"/>
      <w:pPr>
        <w:ind w:left="4920" w:hanging="480"/>
      </w:pPr>
    </w:lvl>
    <w:lvl w:ilvl="8" w:tplc="04090011" w:tentative="1">
      <w:start w:val="1"/>
      <w:numFmt w:val="decimalEnclosedCircle"/>
      <w:lvlText w:val="%9"/>
      <w:lvlJc w:val="left"/>
      <w:pPr>
        <w:ind w:left="540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26"/>
    <w:rsid w:val="000F7A5E"/>
    <w:rsid w:val="001A4FC5"/>
    <w:rsid w:val="002005AE"/>
    <w:rsid w:val="002668D1"/>
    <w:rsid w:val="003E59CB"/>
    <w:rsid w:val="00522FF1"/>
    <w:rsid w:val="00536F63"/>
    <w:rsid w:val="005C3DBE"/>
    <w:rsid w:val="006332C6"/>
    <w:rsid w:val="00745940"/>
    <w:rsid w:val="00852496"/>
    <w:rsid w:val="00A07D26"/>
    <w:rsid w:val="00A73C50"/>
    <w:rsid w:val="00B515F9"/>
    <w:rsid w:val="00B676EA"/>
    <w:rsid w:val="00B91FD4"/>
    <w:rsid w:val="00D60AB6"/>
    <w:rsid w:val="00F42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2BC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FF1"/>
    <w:rPr>
      <w:color w:val="0563C1" w:themeColor="hyperlink"/>
      <w:u w:val="single"/>
    </w:rPr>
  </w:style>
  <w:style w:type="paragraph" w:styleId="ListParagraph">
    <w:name w:val="List Paragraph"/>
    <w:basedOn w:val="Normal"/>
    <w:uiPriority w:val="34"/>
    <w:qFormat/>
    <w:rsid w:val="00D60AB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FF1"/>
    <w:rPr>
      <w:color w:val="0563C1" w:themeColor="hyperlink"/>
      <w:u w:val="single"/>
    </w:rPr>
  </w:style>
  <w:style w:type="paragraph" w:styleId="ListParagraph">
    <w:name w:val="List Paragraph"/>
    <w:basedOn w:val="Normal"/>
    <w:uiPriority w:val="34"/>
    <w:qFormat/>
    <w:rsid w:val="00D60AB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Ittmann</dc:creator>
  <cp:lastModifiedBy>Osinska, Paulina</cp:lastModifiedBy>
  <cp:revision>3</cp:revision>
  <dcterms:created xsi:type="dcterms:W3CDTF">2014-01-30T00:35:00Z</dcterms:created>
  <dcterms:modified xsi:type="dcterms:W3CDTF">2014-02-05T17:33:00Z</dcterms:modified>
</cp:coreProperties>
</file>