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EE2B" w14:textId="5FB67B98" w:rsidR="001E1DCB" w:rsidRPr="00962C61" w:rsidRDefault="001E1DCB" w:rsidP="008B3EB0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1580C">
        <w:rPr>
          <w:rFonts w:asciiTheme="minorHAnsi" w:hAnsiTheme="minorHAnsi" w:cstheme="minorHAnsi"/>
          <w:sz w:val="20"/>
          <w:szCs w:val="20"/>
        </w:rPr>
        <w:t xml:space="preserve">Schedule regular, at least monthly, </w:t>
      </w:r>
      <w:r w:rsidR="00143FAE" w:rsidRPr="0001580C">
        <w:rPr>
          <w:rFonts w:asciiTheme="minorHAnsi" w:hAnsiTheme="minorHAnsi" w:cstheme="minorHAnsi"/>
          <w:b/>
          <w:sz w:val="20"/>
          <w:szCs w:val="20"/>
        </w:rPr>
        <w:t>team meetings</w:t>
      </w:r>
      <w:r w:rsidR="003F0CAF">
        <w:rPr>
          <w:rFonts w:asciiTheme="minorHAnsi" w:hAnsiTheme="minorHAnsi" w:cstheme="minorHAnsi"/>
          <w:sz w:val="20"/>
          <w:szCs w:val="20"/>
        </w:rPr>
        <w:t>.</w:t>
      </w:r>
    </w:p>
    <w:p w14:paraId="4FC6B5B2" w14:textId="77777777" w:rsidR="008B3EB0" w:rsidRPr="0001580C" w:rsidRDefault="008B3EB0" w:rsidP="008B3EB0">
      <w:pPr>
        <w:pStyle w:val="ListParagraph"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9919FB0" w14:textId="7B439C41" w:rsidR="008B3EB0" w:rsidRDefault="001E1DCB" w:rsidP="00684B1B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1580C">
        <w:rPr>
          <w:rFonts w:asciiTheme="minorHAnsi" w:hAnsiTheme="minorHAnsi" w:cstheme="minorHAnsi"/>
          <w:sz w:val="20"/>
          <w:szCs w:val="20"/>
        </w:rPr>
        <w:t>Review the</w:t>
      </w:r>
      <w:r w:rsidRPr="0001580C">
        <w:rPr>
          <w:rFonts w:asciiTheme="minorHAnsi" w:hAnsiTheme="minorHAnsi" w:cstheme="minorHAnsi"/>
          <w:b/>
          <w:sz w:val="20"/>
          <w:szCs w:val="20"/>
        </w:rPr>
        <w:t xml:space="preserve"> ILPQC </w:t>
      </w:r>
      <w:r w:rsidR="001075BA">
        <w:rPr>
          <w:rFonts w:asciiTheme="minorHAnsi" w:hAnsiTheme="minorHAnsi" w:cstheme="minorHAnsi"/>
          <w:b/>
          <w:sz w:val="20"/>
          <w:szCs w:val="20"/>
        </w:rPr>
        <w:t xml:space="preserve">IPAC </w:t>
      </w:r>
      <w:r w:rsidRPr="0001580C">
        <w:rPr>
          <w:rFonts w:asciiTheme="minorHAnsi" w:hAnsiTheme="minorHAnsi" w:cstheme="minorHAnsi"/>
          <w:b/>
          <w:sz w:val="20"/>
          <w:szCs w:val="20"/>
        </w:rPr>
        <w:t>Data Collection Form</w:t>
      </w:r>
      <w:r w:rsidRPr="0001580C">
        <w:rPr>
          <w:rFonts w:asciiTheme="minorHAnsi" w:hAnsiTheme="minorHAnsi" w:cstheme="minorHAnsi"/>
          <w:sz w:val="20"/>
          <w:szCs w:val="20"/>
        </w:rPr>
        <w:t xml:space="preserve"> with your team and discuss opportunities for data collection</w:t>
      </w:r>
      <w:r w:rsidR="000C01A7" w:rsidRPr="0001580C">
        <w:rPr>
          <w:rFonts w:asciiTheme="minorHAnsi" w:hAnsiTheme="minorHAnsi" w:cstheme="minorHAnsi"/>
          <w:sz w:val="20"/>
          <w:szCs w:val="20"/>
        </w:rPr>
        <w:t>.</w:t>
      </w:r>
      <w:r w:rsidR="009116B3" w:rsidRPr="0001580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B6A2F4C" w14:textId="77777777" w:rsidR="00684B1B" w:rsidRPr="00684B1B" w:rsidRDefault="00684B1B" w:rsidP="00684B1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1FFF486" w14:textId="2713EEF7" w:rsidR="008B3EB0" w:rsidRPr="0001580C" w:rsidRDefault="00ED7871" w:rsidP="0001580C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1580C">
        <w:rPr>
          <w:rFonts w:asciiTheme="minorHAnsi" w:hAnsiTheme="minorHAnsi" w:cstheme="minorHAnsi"/>
          <w:sz w:val="20"/>
          <w:szCs w:val="20"/>
        </w:rPr>
        <w:t xml:space="preserve">Complete the </w:t>
      </w:r>
      <w:r w:rsidR="008E519C">
        <w:rPr>
          <w:rFonts w:asciiTheme="minorHAnsi" w:hAnsiTheme="minorHAnsi" w:cstheme="minorHAnsi"/>
          <w:b/>
          <w:sz w:val="20"/>
          <w:szCs w:val="20"/>
        </w:rPr>
        <w:t>IPA</w:t>
      </w:r>
      <w:r w:rsidR="003F0CAF">
        <w:rPr>
          <w:rFonts w:asciiTheme="minorHAnsi" w:hAnsiTheme="minorHAnsi" w:cstheme="minorHAnsi"/>
          <w:b/>
          <w:sz w:val="20"/>
          <w:szCs w:val="20"/>
        </w:rPr>
        <w:t>C</w:t>
      </w:r>
      <w:r w:rsidR="00E91AEE">
        <w:rPr>
          <w:rFonts w:asciiTheme="minorHAnsi" w:hAnsiTheme="minorHAnsi" w:cstheme="minorHAnsi"/>
          <w:b/>
          <w:sz w:val="20"/>
          <w:szCs w:val="20"/>
        </w:rPr>
        <w:t xml:space="preserve"> Teams </w:t>
      </w:r>
      <w:r w:rsidR="00CD57DE" w:rsidRPr="0001580C">
        <w:rPr>
          <w:rFonts w:asciiTheme="minorHAnsi" w:hAnsiTheme="minorHAnsi" w:cstheme="minorHAnsi"/>
          <w:b/>
          <w:sz w:val="20"/>
          <w:szCs w:val="20"/>
        </w:rPr>
        <w:t>Survey and identify team goals.</w:t>
      </w:r>
      <w:r w:rsidR="00FC2EE0" w:rsidRPr="0001580C">
        <w:rPr>
          <w:rFonts w:asciiTheme="minorHAnsi" w:hAnsiTheme="minorHAnsi" w:cstheme="minorHAnsi"/>
          <w:sz w:val="20"/>
          <w:szCs w:val="20"/>
        </w:rPr>
        <w:t xml:space="preserve"> </w:t>
      </w:r>
      <w:r w:rsidR="00CD57DE" w:rsidRPr="0001580C">
        <w:rPr>
          <w:rFonts w:asciiTheme="minorHAnsi" w:hAnsiTheme="minorHAnsi" w:cstheme="minorHAnsi"/>
          <w:sz w:val="20"/>
          <w:szCs w:val="20"/>
        </w:rPr>
        <w:t xml:space="preserve"> This</w:t>
      </w:r>
      <w:r w:rsidR="00A51ABA">
        <w:rPr>
          <w:rFonts w:asciiTheme="minorHAnsi" w:hAnsiTheme="minorHAnsi" w:cstheme="minorHAnsi"/>
          <w:sz w:val="20"/>
          <w:szCs w:val="20"/>
        </w:rPr>
        <w:t xml:space="preserve"> survey will help identify opportunities</w:t>
      </w:r>
      <w:r w:rsidR="00FD6877">
        <w:rPr>
          <w:rFonts w:asciiTheme="minorHAnsi" w:hAnsiTheme="minorHAnsi" w:cstheme="minorHAnsi"/>
          <w:sz w:val="20"/>
          <w:szCs w:val="20"/>
        </w:rPr>
        <w:t xml:space="preserve"> at your hospital</w:t>
      </w:r>
      <w:r w:rsidR="00A51ABA">
        <w:rPr>
          <w:rFonts w:asciiTheme="minorHAnsi" w:hAnsiTheme="minorHAnsi" w:cstheme="minorHAnsi"/>
          <w:sz w:val="20"/>
          <w:szCs w:val="20"/>
        </w:rPr>
        <w:t xml:space="preserve"> to get started</w:t>
      </w:r>
      <w:r w:rsidR="001075B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2CF541F" w14:textId="77777777" w:rsidR="00334FE7" w:rsidRPr="0001580C" w:rsidRDefault="00334FE7" w:rsidP="00CD57DE">
      <w:pPr>
        <w:pStyle w:val="ListParagraph"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7F587FDE" w14:textId="596A0538" w:rsidR="00400A86" w:rsidRPr="0001580C" w:rsidRDefault="00400A86" w:rsidP="00FE7D3F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1580C">
        <w:rPr>
          <w:rFonts w:asciiTheme="minorHAnsi" w:hAnsiTheme="minorHAnsi" w:cstheme="minorHAnsi"/>
          <w:sz w:val="20"/>
          <w:szCs w:val="20"/>
        </w:rPr>
        <w:t>Create a draft</w:t>
      </w:r>
      <w:r w:rsidRPr="0001580C">
        <w:rPr>
          <w:rFonts w:asciiTheme="minorHAnsi" w:hAnsiTheme="minorHAnsi" w:cstheme="minorHAnsi"/>
          <w:b/>
          <w:sz w:val="20"/>
          <w:szCs w:val="20"/>
        </w:rPr>
        <w:t xml:space="preserve"> 30-60-90 day plan</w:t>
      </w:r>
      <w:r w:rsidRPr="0001580C">
        <w:rPr>
          <w:rFonts w:asciiTheme="minorHAnsi" w:hAnsiTheme="minorHAnsi" w:cstheme="minorHAnsi"/>
          <w:sz w:val="20"/>
          <w:szCs w:val="20"/>
        </w:rPr>
        <w:t>. This plan helps your team decide where to start and identify what you want to accomplish in the first 3 months.  Call it the "where should we start</w:t>
      </w:r>
      <w:r w:rsidR="00FD6877">
        <w:rPr>
          <w:rFonts w:asciiTheme="minorHAnsi" w:hAnsiTheme="minorHAnsi" w:cstheme="minorHAnsi"/>
          <w:sz w:val="20"/>
          <w:szCs w:val="20"/>
        </w:rPr>
        <w:t xml:space="preserve"> and what should we do next</w:t>
      </w:r>
      <w:r w:rsidRPr="0001580C">
        <w:rPr>
          <w:rFonts w:asciiTheme="minorHAnsi" w:hAnsiTheme="minorHAnsi" w:cstheme="minorHAnsi"/>
          <w:sz w:val="20"/>
          <w:szCs w:val="20"/>
        </w:rPr>
        <w:t xml:space="preserve">" plan. </w:t>
      </w:r>
    </w:p>
    <w:p w14:paraId="7936355B" w14:textId="77777777" w:rsidR="00400A86" w:rsidRPr="0001580C" w:rsidRDefault="00400A86" w:rsidP="00400A86">
      <w:pPr>
        <w:pStyle w:val="ListParagraph"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3546928" w14:textId="51160B68" w:rsidR="001E1DCB" w:rsidRPr="0001580C" w:rsidRDefault="0001580C" w:rsidP="00400A86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Diagram your</w:t>
      </w:r>
      <w:r w:rsidR="001E1DCB" w:rsidRPr="0001580C">
        <w:rPr>
          <w:rFonts w:asciiTheme="minorHAnsi" w:hAnsiTheme="minorHAnsi" w:cstheme="minorHAnsi"/>
          <w:sz w:val="20"/>
          <w:szCs w:val="20"/>
        </w:rPr>
        <w:t xml:space="preserve"> </w:t>
      </w:r>
      <w:r w:rsidR="001E1DCB" w:rsidRPr="0001580C">
        <w:rPr>
          <w:rFonts w:asciiTheme="minorHAnsi" w:hAnsiTheme="minorHAnsi" w:cstheme="minorHAnsi"/>
          <w:b/>
          <w:sz w:val="20"/>
          <w:szCs w:val="20"/>
        </w:rPr>
        <w:t>process flow</w:t>
      </w:r>
      <w:r w:rsidR="00400A86" w:rsidRPr="0001580C">
        <w:rPr>
          <w:rFonts w:asciiTheme="minorHAnsi" w:hAnsiTheme="minorHAnsi" w:cstheme="minorHAnsi"/>
          <w:sz w:val="20"/>
          <w:szCs w:val="20"/>
        </w:rPr>
        <w:t>.</w:t>
      </w:r>
      <w:r w:rsidR="00400A86" w:rsidRPr="0001580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0A86" w:rsidRPr="0001580C">
        <w:rPr>
          <w:rFonts w:asciiTheme="minorHAnsi" w:hAnsiTheme="minorHAnsi" w:cstheme="minorHAnsi"/>
          <w:sz w:val="20"/>
          <w:szCs w:val="20"/>
        </w:rPr>
        <w:t>This diagram helps yo</w:t>
      </w:r>
      <w:r w:rsidR="00870AAE">
        <w:rPr>
          <w:rFonts w:asciiTheme="minorHAnsi" w:hAnsiTheme="minorHAnsi" w:cstheme="minorHAnsi"/>
          <w:sz w:val="20"/>
          <w:szCs w:val="20"/>
        </w:rPr>
        <w:t>ur team describe a possible</w:t>
      </w:r>
      <w:r w:rsidR="00400A86" w:rsidRPr="0001580C">
        <w:rPr>
          <w:rFonts w:asciiTheme="minorHAnsi" w:hAnsiTheme="minorHAnsi" w:cstheme="minorHAnsi"/>
          <w:sz w:val="20"/>
          <w:szCs w:val="20"/>
        </w:rPr>
        <w:t xml:space="preserve"> process for</w:t>
      </w:r>
      <w:r w:rsidR="00C70320">
        <w:rPr>
          <w:rFonts w:asciiTheme="minorHAnsi" w:hAnsiTheme="minorHAnsi" w:cstheme="minorHAnsi"/>
          <w:sz w:val="20"/>
          <w:szCs w:val="20"/>
        </w:rPr>
        <w:t xml:space="preserve"> facilitating</w:t>
      </w:r>
      <w:r w:rsidR="00400A86" w:rsidRPr="0001580C">
        <w:rPr>
          <w:rFonts w:asciiTheme="minorHAnsi" w:hAnsiTheme="minorHAnsi" w:cstheme="minorHAnsi"/>
          <w:sz w:val="20"/>
          <w:szCs w:val="20"/>
        </w:rPr>
        <w:t xml:space="preserve"> </w:t>
      </w:r>
      <w:r w:rsidR="008E519C">
        <w:rPr>
          <w:rFonts w:asciiTheme="minorHAnsi" w:hAnsiTheme="minorHAnsi" w:cstheme="minorHAnsi"/>
          <w:sz w:val="20"/>
          <w:szCs w:val="20"/>
        </w:rPr>
        <w:t>scheduling universal early postpartum visits</w:t>
      </w:r>
      <w:r w:rsidR="00C70320">
        <w:rPr>
          <w:rFonts w:asciiTheme="minorHAnsi" w:hAnsiTheme="minorHAnsi" w:cstheme="minorHAnsi"/>
          <w:sz w:val="20"/>
          <w:szCs w:val="20"/>
        </w:rPr>
        <w:t xml:space="preserve"> prior to discharge</w:t>
      </w:r>
      <w:r w:rsidR="008E519C">
        <w:rPr>
          <w:rFonts w:asciiTheme="minorHAnsi" w:hAnsiTheme="minorHAnsi" w:cstheme="minorHAnsi"/>
          <w:sz w:val="20"/>
          <w:szCs w:val="20"/>
        </w:rPr>
        <w:t xml:space="preserve"> within two weeks of delivery</w:t>
      </w:r>
      <w:r w:rsidR="008B6F5A">
        <w:rPr>
          <w:rFonts w:asciiTheme="minorHAnsi" w:hAnsiTheme="minorHAnsi" w:cstheme="minorHAnsi"/>
          <w:sz w:val="20"/>
          <w:szCs w:val="20"/>
        </w:rPr>
        <w:t xml:space="preserve"> and providing patients education on benef</w:t>
      </w:r>
      <w:r w:rsidR="00C70320">
        <w:rPr>
          <w:rFonts w:asciiTheme="minorHAnsi" w:hAnsiTheme="minorHAnsi" w:cstheme="minorHAnsi"/>
          <w:sz w:val="20"/>
          <w:szCs w:val="20"/>
        </w:rPr>
        <w:t>its of early postpartum visits</w:t>
      </w:r>
      <w:r w:rsidR="008B6F5A">
        <w:rPr>
          <w:rFonts w:asciiTheme="minorHAnsi" w:hAnsiTheme="minorHAnsi" w:cstheme="minorHAnsi"/>
          <w:sz w:val="20"/>
          <w:szCs w:val="20"/>
        </w:rPr>
        <w:t>, postpartum early warning signs/symptoms and when to seek care</w:t>
      </w:r>
      <w:r w:rsidR="00C70320">
        <w:rPr>
          <w:rFonts w:asciiTheme="minorHAnsi" w:hAnsiTheme="minorHAnsi" w:cstheme="minorHAnsi"/>
          <w:sz w:val="20"/>
          <w:szCs w:val="20"/>
        </w:rPr>
        <w:t>,</w:t>
      </w:r>
      <w:r w:rsidR="008B6F5A">
        <w:rPr>
          <w:rFonts w:asciiTheme="minorHAnsi" w:hAnsiTheme="minorHAnsi" w:cstheme="minorHAnsi"/>
          <w:sz w:val="20"/>
          <w:szCs w:val="20"/>
        </w:rPr>
        <w:t xml:space="preserve"> and education on the benefits of pregnancy spacing</w:t>
      </w:r>
      <w:r w:rsidR="00FD6877">
        <w:rPr>
          <w:rFonts w:asciiTheme="minorHAnsi" w:hAnsiTheme="minorHAnsi" w:cstheme="minorHAnsi"/>
          <w:sz w:val="20"/>
          <w:szCs w:val="20"/>
        </w:rPr>
        <w:t xml:space="preserve"> with options for outpatient</w:t>
      </w:r>
      <w:r w:rsidR="00C70320">
        <w:rPr>
          <w:rFonts w:asciiTheme="minorHAnsi" w:hAnsiTheme="minorHAnsi" w:cstheme="minorHAnsi"/>
          <w:sz w:val="20"/>
          <w:szCs w:val="20"/>
        </w:rPr>
        <w:t xml:space="preserve"> family planning</w:t>
      </w:r>
      <w:r w:rsidR="00684B1B">
        <w:rPr>
          <w:rFonts w:asciiTheme="minorHAnsi" w:hAnsiTheme="minorHAnsi" w:cstheme="minorHAnsi"/>
          <w:sz w:val="20"/>
          <w:szCs w:val="20"/>
        </w:rPr>
        <w:t>.</w:t>
      </w:r>
      <w:r w:rsidR="00400A86" w:rsidRPr="0001580C">
        <w:rPr>
          <w:rFonts w:asciiTheme="minorHAnsi" w:hAnsiTheme="minorHAnsi" w:cstheme="minorHAnsi"/>
          <w:sz w:val="20"/>
          <w:szCs w:val="20"/>
        </w:rPr>
        <w:t xml:space="preserve">  This should be a work in process</w:t>
      </w:r>
      <w:r w:rsidR="00220594">
        <w:rPr>
          <w:rFonts w:asciiTheme="minorHAnsi" w:hAnsiTheme="minorHAnsi" w:cstheme="minorHAnsi"/>
          <w:sz w:val="20"/>
          <w:szCs w:val="20"/>
        </w:rPr>
        <w:t xml:space="preserve"> </w:t>
      </w:r>
      <w:r w:rsidRPr="0001580C">
        <w:rPr>
          <w:rFonts w:asciiTheme="minorHAnsi" w:hAnsiTheme="minorHAnsi" w:cstheme="minorHAnsi"/>
          <w:sz w:val="20"/>
          <w:szCs w:val="20"/>
        </w:rPr>
        <w:t>diagram to help you identify</w:t>
      </w:r>
      <w:r w:rsidR="00407CF6" w:rsidRPr="0001580C">
        <w:rPr>
          <w:rFonts w:asciiTheme="minorHAnsi" w:hAnsiTheme="minorHAnsi" w:cstheme="minorHAnsi"/>
          <w:sz w:val="20"/>
          <w:szCs w:val="20"/>
        </w:rPr>
        <w:t xml:space="preserve"> key </w:t>
      </w:r>
      <w:r w:rsidR="001075BA">
        <w:rPr>
          <w:rFonts w:asciiTheme="minorHAnsi" w:hAnsiTheme="minorHAnsi" w:cstheme="minorHAnsi"/>
          <w:sz w:val="20"/>
          <w:szCs w:val="20"/>
        </w:rPr>
        <w:t xml:space="preserve">steps in the process for </w:t>
      </w:r>
      <w:r w:rsidR="00220594">
        <w:rPr>
          <w:rFonts w:asciiTheme="minorHAnsi" w:hAnsiTheme="minorHAnsi" w:cstheme="minorHAnsi"/>
          <w:sz w:val="20"/>
          <w:szCs w:val="20"/>
        </w:rPr>
        <w:t xml:space="preserve">facilitating </w:t>
      </w:r>
      <w:r w:rsidR="001075BA">
        <w:rPr>
          <w:rFonts w:asciiTheme="minorHAnsi" w:hAnsiTheme="minorHAnsi" w:cstheme="minorHAnsi"/>
          <w:sz w:val="20"/>
          <w:szCs w:val="20"/>
        </w:rPr>
        <w:t>sche</w:t>
      </w:r>
      <w:r w:rsidR="00220594">
        <w:rPr>
          <w:rFonts w:asciiTheme="minorHAnsi" w:hAnsiTheme="minorHAnsi" w:cstheme="minorHAnsi"/>
          <w:sz w:val="20"/>
          <w:szCs w:val="20"/>
        </w:rPr>
        <w:t xml:space="preserve">duling of early postpartum visit (within 2 weeks) before hospital </w:t>
      </w:r>
      <w:r w:rsidR="001075BA">
        <w:rPr>
          <w:rFonts w:asciiTheme="minorHAnsi" w:hAnsiTheme="minorHAnsi" w:cstheme="minorHAnsi"/>
          <w:sz w:val="20"/>
          <w:szCs w:val="20"/>
        </w:rPr>
        <w:t>discharge</w:t>
      </w:r>
      <w:r w:rsidR="008B6F5A">
        <w:rPr>
          <w:rFonts w:asciiTheme="minorHAnsi" w:hAnsiTheme="minorHAnsi" w:cstheme="minorHAnsi"/>
          <w:sz w:val="20"/>
          <w:szCs w:val="20"/>
        </w:rPr>
        <w:t xml:space="preserve"> and providing patients education on this visit</w:t>
      </w:r>
      <w:r w:rsidR="00400A86" w:rsidRPr="0001580C">
        <w:rPr>
          <w:rFonts w:asciiTheme="minorHAnsi" w:hAnsiTheme="minorHAnsi" w:cstheme="minorHAnsi"/>
          <w:sz w:val="20"/>
          <w:szCs w:val="20"/>
        </w:rPr>
        <w:t xml:space="preserve">. </w:t>
      </w:r>
      <w:r w:rsidR="00ED7871" w:rsidRPr="0001580C">
        <w:rPr>
          <w:rFonts w:asciiTheme="minorHAnsi" w:eastAsia="MS PGothic" w:hAnsiTheme="minorHAnsi" w:cstheme="minorHAnsi"/>
          <w:sz w:val="20"/>
          <w:szCs w:val="20"/>
        </w:rPr>
        <w:t>Involve everyone in th</w:t>
      </w:r>
      <w:r w:rsidR="00952C3B" w:rsidRPr="0001580C">
        <w:rPr>
          <w:rFonts w:asciiTheme="minorHAnsi" w:eastAsia="MS PGothic" w:hAnsiTheme="minorHAnsi" w:cstheme="minorHAnsi"/>
          <w:sz w:val="20"/>
          <w:szCs w:val="20"/>
        </w:rPr>
        <w:t>is</w:t>
      </w:r>
      <w:r w:rsidR="00ED7871" w:rsidRPr="0001580C">
        <w:rPr>
          <w:rFonts w:asciiTheme="minorHAnsi" w:eastAsia="MS PGothic" w:hAnsiTheme="minorHAnsi" w:cstheme="minorHAnsi"/>
          <w:sz w:val="20"/>
          <w:szCs w:val="20"/>
        </w:rPr>
        <w:t xml:space="preserve"> process to help your team understand</w:t>
      </w:r>
      <w:r w:rsidR="00ED7871" w:rsidRPr="0001580C">
        <w:rPr>
          <w:rFonts w:asciiTheme="minorHAnsi" w:hAnsiTheme="minorHAnsi" w:cstheme="minorHAnsi"/>
          <w:sz w:val="20"/>
          <w:szCs w:val="20"/>
        </w:rPr>
        <w:t xml:space="preserve"> who is doing </w:t>
      </w:r>
      <w:r w:rsidR="00FC2EE0" w:rsidRPr="0001580C">
        <w:rPr>
          <w:rFonts w:asciiTheme="minorHAnsi" w:hAnsiTheme="minorHAnsi" w:cstheme="minorHAnsi"/>
          <w:sz w:val="20"/>
          <w:szCs w:val="20"/>
        </w:rPr>
        <w:t xml:space="preserve">each activity, when, where, </w:t>
      </w:r>
      <w:r w:rsidR="00ED7871" w:rsidRPr="0001580C">
        <w:rPr>
          <w:rFonts w:asciiTheme="minorHAnsi" w:hAnsiTheme="minorHAnsi" w:cstheme="minorHAnsi"/>
          <w:sz w:val="20"/>
          <w:szCs w:val="20"/>
        </w:rPr>
        <w:t>why</w:t>
      </w:r>
      <w:r w:rsidR="00FC2EE0" w:rsidRPr="0001580C">
        <w:rPr>
          <w:rFonts w:asciiTheme="minorHAnsi" w:hAnsiTheme="minorHAnsi" w:cstheme="minorHAnsi"/>
          <w:sz w:val="20"/>
          <w:szCs w:val="20"/>
        </w:rPr>
        <w:t>, and how</w:t>
      </w:r>
      <w:r w:rsidR="00ED7871" w:rsidRPr="0001580C">
        <w:rPr>
          <w:rFonts w:asciiTheme="minorHAnsi" w:hAnsiTheme="minorHAnsi" w:cstheme="minorHAnsi"/>
          <w:sz w:val="20"/>
          <w:szCs w:val="20"/>
        </w:rPr>
        <w:t>.</w:t>
      </w:r>
      <w:r w:rsidR="006A2A0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531160" w14:textId="77777777" w:rsidR="008B3EB0" w:rsidRPr="0001580C" w:rsidRDefault="008B3EB0" w:rsidP="008B3EB0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3FA93F8F" w14:textId="55C0670D" w:rsidR="00334FE7" w:rsidRPr="0001580C" w:rsidRDefault="00ED7871" w:rsidP="00334FE7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1580C">
        <w:rPr>
          <w:rFonts w:asciiTheme="minorHAnsi" w:hAnsiTheme="minorHAnsi" w:cstheme="minorHAnsi"/>
          <w:sz w:val="20"/>
          <w:szCs w:val="20"/>
        </w:rPr>
        <w:t>Review your</w:t>
      </w:r>
      <w:r w:rsidR="00870AAE">
        <w:rPr>
          <w:rFonts w:asciiTheme="minorHAnsi" w:hAnsiTheme="minorHAnsi" w:cstheme="minorHAnsi"/>
          <w:sz w:val="20"/>
          <w:szCs w:val="20"/>
        </w:rPr>
        <w:t xml:space="preserve"> </w:t>
      </w:r>
      <w:r w:rsidR="001E1DCB" w:rsidRPr="0001580C">
        <w:rPr>
          <w:rFonts w:asciiTheme="minorHAnsi" w:hAnsiTheme="minorHAnsi" w:cstheme="minorHAnsi"/>
          <w:sz w:val="20"/>
          <w:szCs w:val="20"/>
        </w:rPr>
        <w:t xml:space="preserve">process flow diagram with your team and </w:t>
      </w:r>
      <w:r w:rsidR="001E1DCB" w:rsidRPr="0001580C">
        <w:rPr>
          <w:rFonts w:asciiTheme="minorHAnsi" w:hAnsiTheme="minorHAnsi" w:cstheme="minorHAnsi"/>
          <w:b/>
          <w:sz w:val="20"/>
          <w:szCs w:val="20"/>
        </w:rPr>
        <w:t>identi</w:t>
      </w:r>
      <w:r w:rsidR="00870AAE">
        <w:rPr>
          <w:rFonts w:asciiTheme="minorHAnsi" w:hAnsiTheme="minorHAnsi" w:cstheme="minorHAnsi"/>
          <w:b/>
          <w:sz w:val="20"/>
          <w:szCs w:val="20"/>
        </w:rPr>
        <w:t>fy key opportunities for system change and clinical culture change</w:t>
      </w:r>
      <w:r w:rsidR="00220594">
        <w:rPr>
          <w:rFonts w:asciiTheme="minorHAnsi" w:hAnsiTheme="minorHAnsi" w:cstheme="minorHAnsi"/>
          <w:b/>
          <w:sz w:val="20"/>
          <w:szCs w:val="20"/>
        </w:rPr>
        <w:t>/buy-in</w:t>
      </w:r>
      <w:r w:rsidR="00870AAE">
        <w:rPr>
          <w:rFonts w:asciiTheme="minorHAnsi" w:hAnsiTheme="minorHAnsi" w:cstheme="minorHAnsi"/>
          <w:b/>
          <w:sz w:val="20"/>
          <w:szCs w:val="20"/>
        </w:rPr>
        <w:t xml:space="preserve"> to achieve your goal of implementing universal early postpartum visits</w:t>
      </w:r>
      <w:r w:rsidR="00220594">
        <w:rPr>
          <w:rFonts w:asciiTheme="minorHAnsi" w:hAnsiTheme="minorHAnsi" w:cstheme="minorHAnsi"/>
          <w:b/>
          <w:sz w:val="20"/>
          <w:szCs w:val="20"/>
        </w:rPr>
        <w:t xml:space="preserve"> within 2 weeks</w:t>
      </w:r>
      <w:r w:rsidR="001E1DCB" w:rsidRPr="0001580C">
        <w:rPr>
          <w:rFonts w:asciiTheme="minorHAnsi" w:hAnsiTheme="minorHAnsi" w:cstheme="minorHAnsi"/>
          <w:sz w:val="20"/>
          <w:szCs w:val="20"/>
        </w:rPr>
        <w:t>.</w:t>
      </w:r>
      <w:r w:rsidR="003D192E" w:rsidRPr="0001580C">
        <w:rPr>
          <w:rFonts w:asciiTheme="minorHAnsi" w:hAnsiTheme="minorHAnsi" w:cstheme="minorHAnsi"/>
          <w:sz w:val="20"/>
          <w:szCs w:val="20"/>
        </w:rPr>
        <w:t xml:space="preserve"> </w:t>
      </w:r>
      <w:r w:rsidR="00393AD0" w:rsidRPr="0001580C">
        <w:rPr>
          <w:rFonts w:asciiTheme="minorHAnsi" w:hAnsiTheme="minorHAnsi" w:cstheme="minorHAnsi"/>
          <w:sz w:val="20"/>
          <w:szCs w:val="20"/>
        </w:rPr>
        <w:t xml:space="preserve">Reference the </w:t>
      </w:r>
      <w:r w:rsidR="00393AD0" w:rsidRPr="0001580C">
        <w:rPr>
          <w:rFonts w:asciiTheme="minorHAnsi" w:hAnsiTheme="minorHAnsi" w:cstheme="minorHAnsi"/>
          <w:b/>
          <w:sz w:val="20"/>
          <w:szCs w:val="20"/>
        </w:rPr>
        <w:t>Key Driver Diagram</w:t>
      </w:r>
      <w:r w:rsidR="003D192E" w:rsidRPr="0001580C">
        <w:rPr>
          <w:rFonts w:asciiTheme="minorHAnsi" w:hAnsiTheme="minorHAnsi" w:cstheme="minorHAnsi"/>
          <w:sz w:val="20"/>
          <w:szCs w:val="20"/>
        </w:rPr>
        <w:t xml:space="preserve"> to identify</w:t>
      </w:r>
      <w:r w:rsidR="001B55A3" w:rsidRPr="0001580C">
        <w:rPr>
          <w:rFonts w:asciiTheme="minorHAnsi" w:hAnsiTheme="minorHAnsi" w:cstheme="minorHAnsi"/>
          <w:sz w:val="20"/>
          <w:szCs w:val="20"/>
        </w:rPr>
        <w:t xml:space="preserve"> possible</w:t>
      </w:r>
      <w:r w:rsidR="003D192E" w:rsidRPr="0001580C">
        <w:rPr>
          <w:rFonts w:asciiTheme="minorHAnsi" w:hAnsiTheme="minorHAnsi" w:cstheme="minorHAnsi"/>
          <w:sz w:val="20"/>
          <w:szCs w:val="20"/>
        </w:rPr>
        <w:t xml:space="preserve"> </w:t>
      </w:r>
      <w:r w:rsidR="003E771A" w:rsidRPr="0001580C">
        <w:rPr>
          <w:rFonts w:asciiTheme="minorHAnsi" w:hAnsiTheme="minorHAnsi" w:cstheme="minorHAnsi"/>
          <w:sz w:val="20"/>
          <w:szCs w:val="20"/>
        </w:rPr>
        <w:t>interventions</w:t>
      </w:r>
      <w:r w:rsidR="003D192E" w:rsidRPr="0001580C">
        <w:rPr>
          <w:rFonts w:asciiTheme="minorHAnsi" w:hAnsiTheme="minorHAnsi" w:cstheme="minorHAnsi"/>
          <w:sz w:val="20"/>
          <w:szCs w:val="20"/>
        </w:rPr>
        <w:t>.</w:t>
      </w:r>
      <w:r w:rsidR="00A11A87">
        <w:rPr>
          <w:rFonts w:asciiTheme="minorHAnsi" w:hAnsiTheme="minorHAnsi" w:cstheme="minorHAnsi"/>
          <w:sz w:val="20"/>
          <w:szCs w:val="20"/>
        </w:rPr>
        <w:t xml:space="preserve"> </w:t>
      </w:r>
      <w:r w:rsidR="003E771A" w:rsidRPr="0001580C">
        <w:rPr>
          <w:rFonts w:asciiTheme="minorHAnsi" w:hAnsiTheme="minorHAnsi" w:cstheme="minorHAnsi"/>
          <w:sz w:val="20"/>
          <w:szCs w:val="20"/>
        </w:rPr>
        <w:t xml:space="preserve"> </w:t>
      </w:r>
      <w:r w:rsidR="006A3F15">
        <w:rPr>
          <w:rFonts w:asciiTheme="minorHAnsi" w:hAnsiTheme="minorHAnsi" w:cstheme="minorHAnsi"/>
          <w:sz w:val="20"/>
          <w:szCs w:val="20"/>
        </w:rPr>
        <w:t>F</w:t>
      </w:r>
      <w:r w:rsidR="00684B1B">
        <w:rPr>
          <w:rFonts w:asciiTheme="minorHAnsi" w:hAnsiTheme="minorHAnsi" w:cstheme="minorHAnsi"/>
          <w:sz w:val="20"/>
          <w:szCs w:val="20"/>
        </w:rPr>
        <w:t>ocus</w:t>
      </w:r>
      <w:r w:rsidR="0012623F">
        <w:rPr>
          <w:rFonts w:asciiTheme="minorHAnsi" w:hAnsiTheme="minorHAnsi" w:cstheme="minorHAnsi"/>
          <w:sz w:val="20"/>
          <w:szCs w:val="20"/>
        </w:rPr>
        <w:t xml:space="preserve"> first</w:t>
      </w:r>
      <w:r w:rsidR="00684B1B">
        <w:rPr>
          <w:rFonts w:asciiTheme="minorHAnsi" w:hAnsiTheme="minorHAnsi" w:cstheme="minorHAnsi"/>
          <w:sz w:val="20"/>
          <w:szCs w:val="20"/>
        </w:rPr>
        <w:t xml:space="preserve"> on</w:t>
      </w:r>
      <w:r w:rsidR="00654103">
        <w:rPr>
          <w:rFonts w:asciiTheme="minorHAnsi" w:hAnsiTheme="minorHAnsi" w:cstheme="minorHAnsi"/>
          <w:sz w:val="20"/>
          <w:szCs w:val="20"/>
        </w:rPr>
        <w:t xml:space="preserve"> </w:t>
      </w:r>
      <w:r w:rsidR="00220594">
        <w:rPr>
          <w:rFonts w:asciiTheme="minorHAnsi" w:hAnsiTheme="minorHAnsi" w:cstheme="minorHAnsi"/>
          <w:sz w:val="20"/>
          <w:szCs w:val="20"/>
        </w:rPr>
        <w:t xml:space="preserve">communicating universal early postpartum visits to OB providers and developing buy-in, developing a protocol to facilitate </w:t>
      </w:r>
      <w:r w:rsidR="008E519C">
        <w:rPr>
          <w:rFonts w:asciiTheme="minorHAnsi" w:hAnsiTheme="minorHAnsi" w:cstheme="minorHAnsi"/>
          <w:sz w:val="20"/>
          <w:szCs w:val="20"/>
        </w:rPr>
        <w:t>scheduling universal early postpartum visits, working with outpatient sites to develop a process for this and understand billing/coding strategies,</w:t>
      </w:r>
      <w:r w:rsidR="00684B1B">
        <w:rPr>
          <w:rFonts w:asciiTheme="minorHAnsi" w:hAnsiTheme="minorHAnsi" w:cstheme="minorHAnsi"/>
          <w:sz w:val="20"/>
          <w:szCs w:val="20"/>
        </w:rPr>
        <w:t xml:space="preserve"> </w:t>
      </w:r>
      <w:r w:rsidR="00220594">
        <w:rPr>
          <w:rFonts w:asciiTheme="minorHAnsi" w:hAnsiTheme="minorHAnsi" w:cstheme="minorHAnsi"/>
          <w:sz w:val="20"/>
          <w:szCs w:val="20"/>
        </w:rPr>
        <w:t>standardizing</w:t>
      </w:r>
      <w:r w:rsidR="00AA4FBE">
        <w:rPr>
          <w:rFonts w:asciiTheme="minorHAnsi" w:hAnsiTheme="minorHAnsi" w:cstheme="minorHAnsi"/>
          <w:sz w:val="20"/>
          <w:szCs w:val="20"/>
        </w:rPr>
        <w:t xml:space="preserve"> </w:t>
      </w:r>
      <w:r w:rsidR="008E519C">
        <w:rPr>
          <w:rFonts w:asciiTheme="minorHAnsi" w:hAnsiTheme="minorHAnsi" w:cstheme="minorHAnsi"/>
          <w:sz w:val="20"/>
          <w:szCs w:val="20"/>
        </w:rPr>
        <w:t>patient education materials</w:t>
      </w:r>
      <w:r w:rsidR="00AA4FBE">
        <w:rPr>
          <w:rFonts w:asciiTheme="minorHAnsi" w:hAnsiTheme="minorHAnsi" w:cstheme="minorHAnsi"/>
          <w:sz w:val="20"/>
          <w:szCs w:val="20"/>
        </w:rPr>
        <w:t>,</w:t>
      </w:r>
      <w:r w:rsidR="008E519C">
        <w:rPr>
          <w:rFonts w:asciiTheme="minorHAnsi" w:hAnsiTheme="minorHAnsi" w:cstheme="minorHAnsi"/>
          <w:sz w:val="20"/>
          <w:szCs w:val="20"/>
        </w:rPr>
        <w:t xml:space="preserve"> and educating nurses, providers and staff on the benefits of early postpartum visits</w:t>
      </w:r>
      <w:r w:rsidR="00220594">
        <w:rPr>
          <w:rFonts w:asciiTheme="minorHAnsi" w:hAnsiTheme="minorHAnsi" w:cstheme="minorHAnsi"/>
          <w:sz w:val="20"/>
          <w:szCs w:val="20"/>
        </w:rPr>
        <w:t>/maternal health safety check</w:t>
      </w:r>
      <w:r w:rsidR="00FD6877">
        <w:rPr>
          <w:rFonts w:asciiTheme="minorHAnsi" w:hAnsiTheme="minorHAnsi" w:cstheme="minorHAnsi"/>
          <w:sz w:val="20"/>
          <w:szCs w:val="20"/>
        </w:rPr>
        <w:t>, key components of the visit</w:t>
      </w:r>
      <w:r w:rsidR="008B6F5A">
        <w:rPr>
          <w:rFonts w:asciiTheme="minorHAnsi" w:hAnsiTheme="minorHAnsi" w:cstheme="minorHAnsi"/>
          <w:sz w:val="20"/>
          <w:szCs w:val="20"/>
        </w:rPr>
        <w:t xml:space="preserve"> and process for scheduling</w:t>
      </w:r>
      <w:r w:rsidR="00684B1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196508E" w14:textId="506521DC" w:rsidR="0012623F" w:rsidRPr="008F4A39" w:rsidRDefault="0012623F" w:rsidP="0012623F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058A8">
        <w:rPr>
          <w:rFonts w:asciiTheme="minorHAnsi" w:hAnsiTheme="minorHAnsi"/>
          <w:sz w:val="20"/>
          <w:szCs w:val="20"/>
        </w:rPr>
        <w:t>Identify key champio</w:t>
      </w:r>
      <w:r w:rsidR="008E519C">
        <w:rPr>
          <w:rFonts w:asciiTheme="minorHAnsi" w:hAnsiTheme="minorHAnsi"/>
          <w:sz w:val="20"/>
          <w:szCs w:val="20"/>
        </w:rPr>
        <w:t xml:space="preserve">ns in all pertinent departments, especially </w:t>
      </w:r>
      <w:r w:rsidR="00E35340">
        <w:rPr>
          <w:rFonts w:asciiTheme="minorHAnsi" w:hAnsiTheme="minorHAnsi"/>
          <w:sz w:val="20"/>
          <w:szCs w:val="20"/>
        </w:rPr>
        <w:t xml:space="preserve">postpartum care team and </w:t>
      </w:r>
      <w:r w:rsidR="008E519C">
        <w:rPr>
          <w:rFonts w:asciiTheme="minorHAnsi" w:hAnsiTheme="minorHAnsi"/>
          <w:sz w:val="20"/>
          <w:szCs w:val="20"/>
        </w:rPr>
        <w:t>outpatient care sites</w:t>
      </w:r>
    </w:p>
    <w:p w14:paraId="298947E5" w14:textId="5A838829" w:rsidR="008F4A39" w:rsidRPr="003058A8" w:rsidRDefault="00CB00B0" w:rsidP="0012623F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Communicate</w:t>
      </w:r>
      <w:r w:rsidR="006C7D12">
        <w:rPr>
          <w:rFonts w:asciiTheme="minorHAnsi" w:hAnsiTheme="minorHAnsi" w:cstheme="minorHAnsi"/>
          <w:sz w:val="20"/>
          <w:szCs w:val="20"/>
        </w:rPr>
        <w:t xml:space="preserve"> recommendation/strategy for universal</w:t>
      </w:r>
      <w:r>
        <w:rPr>
          <w:rFonts w:asciiTheme="minorHAnsi" w:hAnsiTheme="minorHAnsi" w:cstheme="minorHAnsi"/>
          <w:sz w:val="20"/>
          <w:szCs w:val="20"/>
        </w:rPr>
        <w:t xml:space="preserve"> early postpartum visit</w:t>
      </w:r>
      <w:r w:rsidR="006C7D12">
        <w:rPr>
          <w:rFonts w:asciiTheme="minorHAnsi" w:hAnsiTheme="minorHAnsi" w:cstheme="minorHAnsi"/>
          <w:sz w:val="20"/>
          <w:szCs w:val="20"/>
        </w:rPr>
        <w:t>s/maternal health safety check</w:t>
      </w:r>
      <w:r>
        <w:rPr>
          <w:rFonts w:asciiTheme="minorHAnsi" w:hAnsiTheme="minorHAnsi" w:cstheme="minorHAnsi"/>
          <w:sz w:val="20"/>
          <w:szCs w:val="20"/>
        </w:rPr>
        <w:t xml:space="preserve"> and develop buy-in from OB providers/outpatient care sites. </w:t>
      </w:r>
    </w:p>
    <w:p w14:paraId="7B39A569" w14:textId="6A95E7C1" w:rsidR="0012623F" w:rsidRPr="008B6F5A" w:rsidRDefault="008E519C" w:rsidP="0012623F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Develop and implement a protocol for </w:t>
      </w:r>
      <w:r w:rsidR="008F4A39">
        <w:rPr>
          <w:rFonts w:asciiTheme="minorHAnsi" w:hAnsiTheme="minorHAnsi"/>
          <w:sz w:val="20"/>
          <w:szCs w:val="20"/>
        </w:rPr>
        <w:t xml:space="preserve">facilitating </w:t>
      </w:r>
      <w:r>
        <w:rPr>
          <w:rFonts w:asciiTheme="minorHAnsi" w:hAnsiTheme="minorHAnsi"/>
          <w:sz w:val="20"/>
          <w:szCs w:val="20"/>
        </w:rPr>
        <w:t>universal early postpartum visit scheduling</w:t>
      </w:r>
      <w:r w:rsidR="006C7D12">
        <w:rPr>
          <w:rFonts w:asciiTheme="minorHAnsi" w:hAnsiTheme="minorHAnsi"/>
          <w:sz w:val="20"/>
          <w:szCs w:val="20"/>
        </w:rPr>
        <w:t xml:space="preserve"> within 2 weeks</w:t>
      </w:r>
    </w:p>
    <w:p w14:paraId="66633F74" w14:textId="43FAE774" w:rsidR="008B6F5A" w:rsidRPr="008B6F5A" w:rsidRDefault="008B6F5A" w:rsidP="008B6F5A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Share strategies for </w:t>
      </w:r>
      <w:r w:rsidR="00E35340">
        <w:rPr>
          <w:rFonts w:asciiTheme="minorHAnsi" w:hAnsiTheme="minorHAnsi"/>
          <w:sz w:val="20"/>
          <w:szCs w:val="20"/>
        </w:rPr>
        <w:t xml:space="preserve">scheduling and </w:t>
      </w:r>
      <w:r>
        <w:rPr>
          <w:rFonts w:asciiTheme="minorHAnsi" w:hAnsiTheme="minorHAnsi"/>
          <w:sz w:val="20"/>
          <w:szCs w:val="20"/>
        </w:rPr>
        <w:t>billing/coding</w:t>
      </w:r>
      <w:r w:rsidR="00E35340">
        <w:rPr>
          <w:rFonts w:asciiTheme="minorHAnsi" w:hAnsiTheme="minorHAnsi"/>
          <w:sz w:val="20"/>
          <w:szCs w:val="20"/>
        </w:rPr>
        <w:t xml:space="preserve"> the early postpartum visit, as well as key components of the early postpartum visit / postpartum maternal safety check</w:t>
      </w:r>
      <w:r>
        <w:rPr>
          <w:rFonts w:asciiTheme="minorHAnsi" w:hAnsiTheme="minorHAnsi"/>
          <w:sz w:val="20"/>
          <w:szCs w:val="20"/>
        </w:rPr>
        <w:t xml:space="preserve"> with providers and outpatient sites</w:t>
      </w:r>
    </w:p>
    <w:p w14:paraId="19E07284" w14:textId="2D4CF83A" w:rsidR="006F2461" w:rsidRPr="00AA4FBE" w:rsidRDefault="00AA4FBE" w:rsidP="00684B1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Identify and standardize</w:t>
      </w:r>
      <w:r w:rsidR="00FD6877">
        <w:rPr>
          <w:rFonts w:asciiTheme="minorHAnsi" w:hAnsiTheme="minorHAnsi"/>
          <w:sz w:val="20"/>
          <w:szCs w:val="20"/>
        </w:rPr>
        <w:t xml:space="preserve"> the</w:t>
      </w:r>
      <w:r>
        <w:rPr>
          <w:rFonts w:asciiTheme="minorHAnsi" w:hAnsiTheme="minorHAnsi"/>
          <w:sz w:val="20"/>
          <w:szCs w:val="20"/>
        </w:rPr>
        <w:t xml:space="preserve"> </w:t>
      </w:r>
      <w:r w:rsidR="00FD6877">
        <w:rPr>
          <w:rFonts w:asciiTheme="minorHAnsi" w:hAnsiTheme="minorHAnsi"/>
          <w:sz w:val="20"/>
          <w:szCs w:val="20"/>
        </w:rPr>
        <w:t xml:space="preserve">process for providing </w:t>
      </w:r>
      <w:r>
        <w:rPr>
          <w:rFonts w:asciiTheme="minorHAnsi" w:hAnsiTheme="minorHAnsi"/>
          <w:sz w:val="20"/>
          <w:szCs w:val="20"/>
        </w:rPr>
        <w:t>patient education materials</w:t>
      </w:r>
      <w:r w:rsidR="00FD6877">
        <w:rPr>
          <w:rFonts w:asciiTheme="minorHAnsi" w:hAnsiTheme="minorHAnsi"/>
          <w:sz w:val="20"/>
          <w:szCs w:val="20"/>
        </w:rPr>
        <w:t xml:space="preserve"> before hospital discharge</w:t>
      </w:r>
      <w:r>
        <w:rPr>
          <w:rFonts w:asciiTheme="minorHAnsi" w:hAnsiTheme="minorHAnsi"/>
          <w:sz w:val="20"/>
          <w:szCs w:val="20"/>
        </w:rPr>
        <w:t xml:space="preserve"> on:</w:t>
      </w:r>
    </w:p>
    <w:p w14:paraId="136A741B" w14:textId="7E11A821" w:rsidR="00AA4FBE" w:rsidRDefault="00AA4FBE" w:rsidP="00AA4FBE">
      <w:pPr>
        <w:pStyle w:val="ListParagraph"/>
        <w:numPr>
          <w:ilvl w:val="1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Benefits of early postpartum care</w:t>
      </w:r>
      <w:r w:rsidR="00870AAE">
        <w:rPr>
          <w:rFonts w:asciiTheme="minorHAnsi" w:hAnsiTheme="minorHAnsi" w:cstheme="minorHAnsi"/>
          <w:sz w:val="20"/>
          <w:szCs w:val="20"/>
        </w:rPr>
        <w:t xml:space="preserve"> for a maternal health safety check</w:t>
      </w:r>
    </w:p>
    <w:p w14:paraId="6B9D11D5" w14:textId="43E7AF59" w:rsidR="00AA4FBE" w:rsidRDefault="00AA4FBE" w:rsidP="00AA4FBE">
      <w:pPr>
        <w:pStyle w:val="ListParagraph"/>
        <w:numPr>
          <w:ilvl w:val="1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Postpartum early warning signs and how to seek care</w:t>
      </w:r>
    </w:p>
    <w:p w14:paraId="3A68072A" w14:textId="1219B88A" w:rsidR="00AA4FBE" w:rsidRPr="003058A8" w:rsidRDefault="008B6F5A" w:rsidP="00AA4FBE">
      <w:pPr>
        <w:pStyle w:val="ListParagraph"/>
        <w:numPr>
          <w:ilvl w:val="1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Benefits of pregnancy spacing </w:t>
      </w:r>
      <w:r w:rsidR="00870AAE">
        <w:rPr>
          <w:rFonts w:asciiTheme="minorHAnsi" w:hAnsiTheme="minorHAnsi" w:cstheme="minorHAnsi"/>
          <w:sz w:val="20"/>
          <w:szCs w:val="20"/>
        </w:rPr>
        <w:t>and options for outpatient family planning strategies</w:t>
      </w:r>
    </w:p>
    <w:p w14:paraId="69D75091" w14:textId="1078BCA8" w:rsidR="00FD227B" w:rsidRDefault="0054575A" w:rsidP="00675262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058A8">
        <w:rPr>
          <w:rFonts w:asciiTheme="minorHAnsi" w:hAnsiTheme="minorHAnsi"/>
          <w:sz w:val="20"/>
          <w:szCs w:val="20"/>
        </w:rPr>
        <w:t xml:space="preserve">Educate </w:t>
      </w:r>
      <w:r w:rsidR="00FD6877">
        <w:rPr>
          <w:rFonts w:asciiTheme="minorHAnsi" w:hAnsiTheme="minorHAnsi"/>
          <w:sz w:val="20"/>
          <w:szCs w:val="20"/>
        </w:rPr>
        <w:t xml:space="preserve">obstetric </w:t>
      </w:r>
      <w:r w:rsidR="006C7D12">
        <w:rPr>
          <w:rFonts w:asciiTheme="minorHAnsi" w:hAnsiTheme="minorHAnsi"/>
          <w:sz w:val="20"/>
          <w:szCs w:val="20"/>
        </w:rPr>
        <w:t>providers</w:t>
      </w:r>
      <w:r w:rsidRPr="003058A8">
        <w:rPr>
          <w:rFonts w:asciiTheme="minorHAnsi" w:hAnsiTheme="minorHAnsi"/>
          <w:sz w:val="20"/>
          <w:szCs w:val="20"/>
        </w:rPr>
        <w:t xml:space="preserve">, nurses, </w:t>
      </w:r>
      <w:r w:rsidR="006C7D12">
        <w:rPr>
          <w:rFonts w:asciiTheme="minorHAnsi" w:hAnsiTheme="minorHAnsi"/>
          <w:sz w:val="20"/>
          <w:szCs w:val="20"/>
        </w:rPr>
        <w:t>and staff</w:t>
      </w:r>
      <w:r w:rsidRPr="003058A8">
        <w:rPr>
          <w:rFonts w:asciiTheme="minorHAnsi" w:hAnsiTheme="minorHAnsi"/>
          <w:sz w:val="20"/>
          <w:szCs w:val="20"/>
        </w:rPr>
        <w:t xml:space="preserve"> </w:t>
      </w:r>
      <w:r w:rsidR="00FD227B" w:rsidRPr="003058A8">
        <w:rPr>
          <w:rFonts w:asciiTheme="minorHAnsi" w:hAnsiTheme="minorHAnsi" w:cstheme="minorHAnsi"/>
          <w:sz w:val="20"/>
          <w:szCs w:val="20"/>
        </w:rPr>
        <w:t xml:space="preserve">on </w:t>
      </w:r>
      <w:r w:rsidR="00AA4FBE">
        <w:rPr>
          <w:rFonts w:asciiTheme="minorHAnsi" w:hAnsiTheme="minorHAnsi" w:cstheme="minorHAnsi"/>
          <w:sz w:val="20"/>
          <w:szCs w:val="20"/>
        </w:rPr>
        <w:t xml:space="preserve">optimizing early postpartum care, including: </w:t>
      </w:r>
    </w:p>
    <w:p w14:paraId="3CBFEEBF" w14:textId="2DB5DA24" w:rsidR="00AA4FBE" w:rsidRDefault="00AA4FBE" w:rsidP="00AA4FBE">
      <w:pPr>
        <w:pStyle w:val="ListParagraph"/>
        <w:numPr>
          <w:ilvl w:val="1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Maternal safety risks in the postpartum period</w:t>
      </w:r>
    </w:p>
    <w:p w14:paraId="4EBFC358" w14:textId="6E2FF815" w:rsidR="00AA4FBE" w:rsidRDefault="00AA4FBE" w:rsidP="00AA4FBE">
      <w:pPr>
        <w:pStyle w:val="ListParagraph"/>
        <w:numPr>
          <w:ilvl w:val="1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Benefits of </w:t>
      </w:r>
      <w:r w:rsidR="00FD6877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>early postpartum care</w:t>
      </w:r>
      <w:r w:rsidR="00FD6877">
        <w:rPr>
          <w:rFonts w:asciiTheme="minorHAnsi" w:hAnsiTheme="minorHAnsi" w:cstheme="minorHAnsi"/>
          <w:sz w:val="20"/>
          <w:szCs w:val="20"/>
        </w:rPr>
        <w:t xml:space="preserve"> visit / maternal health safety check</w:t>
      </w:r>
    </w:p>
    <w:p w14:paraId="3394B182" w14:textId="276BA801" w:rsidR="00AA4FBE" w:rsidRDefault="00AA4FBE" w:rsidP="00AA4FBE">
      <w:pPr>
        <w:pStyle w:val="ListParagraph"/>
        <w:numPr>
          <w:ilvl w:val="1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Protocol for scheduling early postpartum visit prior to discharge</w:t>
      </w:r>
    </w:p>
    <w:p w14:paraId="55513503" w14:textId="410FF7D0" w:rsidR="00AA4FBE" w:rsidRDefault="00AA4FBE" w:rsidP="00AA4FBE">
      <w:pPr>
        <w:pStyle w:val="ListParagraph"/>
        <w:numPr>
          <w:ilvl w:val="1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Documentation and billing for early postpartum visits</w:t>
      </w:r>
    </w:p>
    <w:p w14:paraId="1CA2B46A" w14:textId="4B6C7B80" w:rsidR="00AA4FBE" w:rsidRDefault="00AA4FBE" w:rsidP="00AA4FBE">
      <w:pPr>
        <w:pStyle w:val="ListParagraph"/>
        <w:numPr>
          <w:ilvl w:val="1"/>
          <w:numId w:val="7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Component</w:t>
      </w:r>
      <w:r w:rsidR="00FD6877">
        <w:rPr>
          <w:rFonts w:asciiTheme="minorHAnsi" w:hAnsiTheme="minorHAnsi" w:cstheme="minorHAnsi"/>
          <w:sz w:val="20"/>
          <w:szCs w:val="20"/>
        </w:rPr>
        <w:t>s of early postpartum visit / maternal health safety check</w:t>
      </w:r>
    </w:p>
    <w:p w14:paraId="2DF96FD3" w14:textId="77777777" w:rsidR="003E771A" w:rsidRPr="0001580C" w:rsidRDefault="003E771A" w:rsidP="00393AD0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0FCFF53" w14:textId="363E0C02" w:rsidR="003E771A" w:rsidRDefault="00393AD0" w:rsidP="003E771A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13CCD">
        <w:rPr>
          <w:rFonts w:asciiTheme="minorHAnsi" w:hAnsiTheme="minorHAnsi" w:cstheme="minorHAnsi"/>
          <w:sz w:val="20"/>
          <w:szCs w:val="20"/>
        </w:rPr>
        <w:t xml:space="preserve">Review the ILPQC </w:t>
      </w:r>
      <w:r w:rsidR="00AA4FBE">
        <w:rPr>
          <w:rFonts w:asciiTheme="minorHAnsi" w:hAnsiTheme="minorHAnsi" w:cstheme="minorHAnsi"/>
          <w:sz w:val="20"/>
          <w:szCs w:val="20"/>
        </w:rPr>
        <w:t>Improving Postpartum Access to Care</w:t>
      </w:r>
      <w:r w:rsidRPr="00013CCD">
        <w:rPr>
          <w:rFonts w:asciiTheme="minorHAnsi" w:hAnsiTheme="minorHAnsi" w:cstheme="minorHAnsi"/>
          <w:sz w:val="20"/>
          <w:szCs w:val="20"/>
        </w:rPr>
        <w:t xml:space="preserve"> </w:t>
      </w:r>
      <w:r w:rsidRPr="00013CCD">
        <w:rPr>
          <w:rFonts w:asciiTheme="minorHAnsi" w:hAnsiTheme="minorHAnsi" w:cstheme="minorHAnsi"/>
          <w:b/>
          <w:sz w:val="20"/>
          <w:szCs w:val="20"/>
        </w:rPr>
        <w:t>Toolkit Binder</w:t>
      </w:r>
      <w:r w:rsidR="003E771A" w:rsidRPr="00013CC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E771A" w:rsidRPr="00013CCD">
        <w:rPr>
          <w:rFonts w:asciiTheme="minorHAnsi" w:hAnsiTheme="minorHAnsi" w:cstheme="minorHAnsi"/>
          <w:sz w:val="20"/>
          <w:szCs w:val="20"/>
        </w:rPr>
        <w:t>for</w:t>
      </w:r>
      <w:r w:rsidR="001B55A3" w:rsidRPr="00013CCD">
        <w:rPr>
          <w:rFonts w:asciiTheme="minorHAnsi" w:hAnsiTheme="minorHAnsi" w:cstheme="minorHAnsi"/>
          <w:sz w:val="20"/>
          <w:szCs w:val="20"/>
        </w:rPr>
        <w:t xml:space="preserve"> nationally vetted</w:t>
      </w:r>
      <w:r w:rsidR="003E771A" w:rsidRPr="00013CCD">
        <w:rPr>
          <w:rFonts w:asciiTheme="minorHAnsi" w:hAnsiTheme="minorHAnsi" w:cstheme="minorHAnsi"/>
          <w:sz w:val="20"/>
          <w:szCs w:val="20"/>
        </w:rPr>
        <w:t xml:space="preserve"> resources</w:t>
      </w:r>
      <w:r w:rsidR="002C591F">
        <w:rPr>
          <w:rFonts w:asciiTheme="minorHAnsi" w:hAnsiTheme="minorHAnsi" w:cstheme="minorHAnsi"/>
          <w:sz w:val="20"/>
          <w:szCs w:val="20"/>
        </w:rPr>
        <w:t xml:space="preserve"> </w:t>
      </w:r>
      <w:r w:rsidR="009A6E4F" w:rsidRPr="00013CCD">
        <w:rPr>
          <w:rFonts w:asciiTheme="minorHAnsi" w:hAnsiTheme="minorHAnsi" w:cstheme="minorHAnsi"/>
          <w:sz w:val="20"/>
          <w:szCs w:val="20"/>
        </w:rPr>
        <w:t>to support your improvement goals</w:t>
      </w:r>
      <w:r w:rsidR="00013CCD">
        <w:rPr>
          <w:rFonts w:asciiTheme="minorHAnsi" w:hAnsiTheme="minorHAnsi" w:cstheme="minorHAnsi"/>
          <w:sz w:val="20"/>
          <w:szCs w:val="20"/>
        </w:rPr>
        <w:t>.</w:t>
      </w:r>
    </w:p>
    <w:p w14:paraId="0B428ED0" w14:textId="77777777" w:rsidR="00013CCD" w:rsidRPr="00013CCD" w:rsidRDefault="00013CCD" w:rsidP="00013CCD">
      <w:pPr>
        <w:pStyle w:val="ListParagraph"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FD693B7" w14:textId="47793839" w:rsidR="0043298A" w:rsidRDefault="00407CF6" w:rsidP="0071675C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200F1">
        <w:rPr>
          <w:rFonts w:asciiTheme="minorHAnsi" w:hAnsiTheme="minorHAnsi" w:cstheme="minorHAnsi"/>
          <w:sz w:val="20"/>
          <w:szCs w:val="20"/>
        </w:rPr>
        <w:t xml:space="preserve">Plan your first </w:t>
      </w:r>
      <w:r w:rsidRPr="003200F1">
        <w:rPr>
          <w:rFonts w:asciiTheme="minorHAnsi" w:hAnsiTheme="minorHAnsi" w:cstheme="minorHAnsi"/>
          <w:b/>
          <w:sz w:val="20"/>
          <w:szCs w:val="20"/>
        </w:rPr>
        <w:t>PDSA cycle</w:t>
      </w:r>
      <w:r w:rsidRPr="003200F1">
        <w:rPr>
          <w:rFonts w:asciiTheme="minorHAnsi" w:hAnsiTheme="minorHAnsi" w:cstheme="minorHAnsi"/>
          <w:sz w:val="20"/>
          <w:szCs w:val="20"/>
        </w:rPr>
        <w:t xml:space="preserve"> with your team to address your 30-60-90 day plan. These small tests of change help your hospital test process/system changes to reach initiative goals. Please see attached </w:t>
      </w:r>
      <w:r w:rsidR="006F2461">
        <w:rPr>
          <w:rFonts w:asciiTheme="minorHAnsi" w:hAnsiTheme="minorHAnsi" w:cstheme="minorHAnsi"/>
          <w:sz w:val="20"/>
          <w:szCs w:val="20"/>
        </w:rPr>
        <w:t>worksheet</w:t>
      </w:r>
      <w:r w:rsidRPr="003200F1">
        <w:rPr>
          <w:rFonts w:asciiTheme="minorHAnsi" w:hAnsiTheme="minorHAnsi" w:cstheme="minorHAnsi"/>
          <w:sz w:val="20"/>
          <w:szCs w:val="20"/>
        </w:rPr>
        <w:t xml:space="preserve"> for more details on planning your first small test of change. Focus on </w:t>
      </w:r>
      <w:r w:rsidR="00AA4FBE">
        <w:rPr>
          <w:rFonts w:asciiTheme="minorHAnsi" w:hAnsiTheme="minorHAnsi" w:cstheme="minorHAnsi"/>
          <w:sz w:val="20"/>
          <w:szCs w:val="20"/>
        </w:rPr>
        <w:t>IPAC</w:t>
      </w:r>
      <w:r w:rsidRPr="003200F1">
        <w:rPr>
          <w:rFonts w:asciiTheme="minorHAnsi" w:hAnsiTheme="minorHAnsi" w:cstheme="minorHAnsi"/>
          <w:sz w:val="20"/>
          <w:szCs w:val="20"/>
        </w:rPr>
        <w:t xml:space="preserve"> key elements for improvement, start small and test a change/ improvement with one nurse, one provider, one patient or for one day or one week. Review results, make improvements and implement if success</w:t>
      </w:r>
      <w:r w:rsidR="00621256">
        <w:rPr>
          <w:rFonts w:asciiTheme="minorHAnsi" w:hAnsiTheme="minorHAnsi" w:cstheme="minorHAnsi"/>
          <w:sz w:val="20"/>
          <w:szCs w:val="20"/>
        </w:rPr>
        <w:t>ful</w:t>
      </w:r>
      <w:r w:rsidRPr="003200F1">
        <w:rPr>
          <w:rFonts w:asciiTheme="minorHAnsi" w:hAnsiTheme="minorHAnsi" w:cstheme="minorHAnsi"/>
          <w:sz w:val="20"/>
          <w:szCs w:val="20"/>
        </w:rPr>
        <w:t xml:space="preserve">, repeat cycle if improvements needed. </w:t>
      </w:r>
      <w:r w:rsidR="00FD6877">
        <w:rPr>
          <w:rFonts w:asciiTheme="minorHAnsi" w:hAnsiTheme="minorHAnsi" w:cstheme="minorHAnsi"/>
          <w:sz w:val="20"/>
          <w:szCs w:val="20"/>
        </w:rPr>
        <w:t xml:space="preserve"> Think about opportunities to test strategies to facilitate scheduling early postpartum visits, what works best?  Or consider a PDSA on how to best provide patients the new elements of postpartum education materials.  Start small, see what works, get feedback, revise.. That is how to make a PDSA cycle work for you! </w:t>
      </w:r>
    </w:p>
    <w:p w14:paraId="1220956B" w14:textId="77777777" w:rsidR="003200F1" w:rsidRPr="003200F1" w:rsidRDefault="003200F1" w:rsidP="003200F1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3BA278C1" w14:textId="4F883F46" w:rsidR="00AA4FBE" w:rsidRDefault="00CA071F" w:rsidP="00AA4FBE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1580C">
        <w:rPr>
          <w:rFonts w:asciiTheme="minorHAnsi" w:hAnsiTheme="minorHAnsi" w:cstheme="minorHAnsi"/>
          <w:sz w:val="20"/>
          <w:szCs w:val="20"/>
        </w:rPr>
        <w:t>Develop your teams</w:t>
      </w:r>
      <w:r w:rsidR="005D3480" w:rsidRPr="0001580C">
        <w:rPr>
          <w:rFonts w:asciiTheme="minorHAnsi" w:hAnsiTheme="minorHAnsi" w:cstheme="minorHAnsi"/>
          <w:sz w:val="20"/>
          <w:szCs w:val="20"/>
        </w:rPr>
        <w:t xml:space="preserve"> 30, 60, and 90 day</w:t>
      </w:r>
      <w:r w:rsidRPr="0001580C">
        <w:rPr>
          <w:rFonts w:asciiTheme="minorHAnsi" w:hAnsiTheme="minorHAnsi" w:cstheme="minorHAnsi"/>
          <w:b/>
          <w:sz w:val="20"/>
          <w:szCs w:val="20"/>
        </w:rPr>
        <w:t xml:space="preserve"> implementation plan </w:t>
      </w:r>
      <w:r w:rsidR="00E35340">
        <w:rPr>
          <w:rFonts w:asciiTheme="minorHAnsi" w:hAnsiTheme="minorHAnsi" w:cstheme="minorHAnsi"/>
          <w:sz w:val="20"/>
          <w:szCs w:val="20"/>
        </w:rPr>
        <w:t>to plan your work on the key strategies</w:t>
      </w:r>
      <w:r w:rsidR="00FD227B">
        <w:rPr>
          <w:rFonts w:asciiTheme="minorHAnsi" w:hAnsiTheme="minorHAnsi" w:cstheme="minorHAnsi"/>
          <w:sz w:val="20"/>
          <w:szCs w:val="20"/>
        </w:rPr>
        <w:t xml:space="preserve">. </w:t>
      </w:r>
      <w:r w:rsidR="006A2A02">
        <w:rPr>
          <w:rFonts w:asciiTheme="minorHAnsi" w:hAnsiTheme="minorHAnsi" w:cstheme="minorHAnsi"/>
          <w:sz w:val="20"/>
          <w:szCs w:val="20"/>
        </w:rPr>
        <w:t xml:space="preserve">Consider focusing </w:t>
      </w:r>
      <w:r w:rsidR="00E35340">
        <w:rPr>
          <w:rFonts w:asciiTheme="minorHAnsi" w:hAnsiTheme="minorHAnsi" w:cstheme="minorHAnsi"/>
          <w:sz w:val="20"/>
          <w:szCs w:val="20"/>
        </w:rPr>
        <w:t>on developing</w:t>
      </w:r>
      <w:r w:rsidR="00870AAE">
        <w:rPr>
          <w:rFonts w:asciiTheme="minorHAnsi" w:hAnsiTheme="minorHAnsi" w:cstheme="minorHAnsi"/>
          <w:sz w:val="20"/>
          <w:szCs w:val="20"/>
        </w:rPr>
        <w:t xml:space="preserve"> a process for scheduling the early postpartum visit prior to delivery discharge</w:t>
      </w:r>
      <w:r w:rsidR="00E35340">
        <w:rPr>
          <w:rFonts w:asciiTheme="minorHAnsi" w:hAnsiTheme="minorHAnsi" w:cstheme="minorHAnsi"/>
          <w:sz w:val="20"/>
          <w:szCs w:val="20"/>
        </w:rPr>
        <w:t xml:space="preserve">, standardizing patient education </w:t>
      </w:r>
      <w:r w:rsidR="00E35340">
        <w:rPr>
          <w:rFonts w:asciiTheme="minorHAnsi" w:hAnsiTheme="minorHAnsi" w:cstheme="minorHAnsi"/>
          <w:sz w:val="20"/>
          <w:szCs w:val="20"/>
        </w:rPr>
        <w:lastRenderedPageBreak/>
        <w:t xml:space="preserve">and working on a provider / outpatient packet to communicate strategies with your hospitals affiliated </w:t>
      </w:r>
      <w:r w:rsidR="00A51ABA">
        <w:rPr>
          <w:rFonts w:asciiTheme="minorHAnsi" w:hAnsiTheme="minorHAnsi" w:cstheme="minorHAnsi"/>
          <w:sz w:val="20"/>
          <w:szCs w:val="20"/>
        </w:rPr>
        <w:t xml:space="preserve">obstetric providers and </w:t>
      </w:r>
      <w:r w:rsidR="00E35340">
        <w:rPr>
          <w:rFonts w:asciiTheme="minorHAnsi" w:hAnsiTheme="minorHAnsi" w:cstheme="minorHAnsi"/>
          <w:sz w:val="20"/>
          <w:szCs w:val="20"/>
        </w:rPr>
        <w:t>outpatient care sites</w:t>
      </w:r>
      <w:r w:rsidR="003535BE">
        <w:rPr>
          <w:rFonts w:asciiTheme="minorHAnsi" w:hAnsiTheme="minorHAnsi" w:cstheme="minorHAnsi"/>
          <w:sz w:val="20"/>
          <w:szCs w:val="20"/>
        </w:rPr>
        <w:t xml:space="preserve">. </w:t>
      </w:r>
      <w:r w:rsidR="00E35340">
        <w:rPr>
          <w:rFonts w:asciiTheme="minorHAnsi" w:hAnsiTheme="minorHAnsi" w:cstheme="minorHAnsi"/>
          <w:sz w:val="20"/>
          <w:szCs w:val="20"/>
        </w:rPr>
        <w:t xml:space="preserve">Early in the process you may need to engage obstetric providers in </w:t>
      </w:r>
      <w:r w:rsidR="006C7D12">
        <w:rPr>
          <w:rFonts w:asciiTheme="minorHAnsi" w:hAnsiTheme="minorHAnsi" w:cstheme="minorHAnsi"/>
          <w:sz w:val="20"/>
          <w:szCs w:val="20"/>
        </w:rPr>
        <w:t xml:space="preserve">developing buy-in </w:t>
      </w:r>
      <w:r w:rsidR="00E35340">
        <w:rPr>
          <w:rFonts w:asciiTheme="minorHAnsi" w:hAnsiTheme="minorHAnsi" w:cstheme="minorHAnsi"/>
          <w:sz w:val="20"/>
          <w:szCs w:val="20"/>
        </w:rPr>
        <w:t>for early postpartum visits</w:t>
      </w:r>
      <w:r w:rsidR="00A51ABA">
        <w:rPr>
          <w:rFonts w:asciiTheme="minorHAnsi" w:hAnsiTheme="minorHAnsi" w:cstheme="minorHAnsi"/>
          <w:sz w:val="20"/>
          <w:szCs w:val="20"/>
        </w:rPr>
        <w:t xml:space="preserve"> for a maternal safety check, </w:t>
      </w:r>
      <w:r w:rsidR="00E35340">
        <w:rPr>
          <w:rFonts w:asciiTheme="minorHAnsi" w:hAnsiTheme="minorHAnsi" w:cstheme="minorHAnsi"/>
          <w:sz w:val="20"/>
          <w:szCs w:val="20"/>
        </w:rPr>
        <w:t xml:space="preserve">and the recommendation from ACOG and the Illinois Maternal Mortality Review Committee.  </w:t>
      </w:r>
      <w:r w:rsidR="003535BE">
        <w:rPr>
          <w:rFonts w:asciiTheme="minorHAnsi" w:hAnsiTheme="minorHAnsi" w:cstheme="minorHAnsi"/>
          <w:sz w:val="20"/>
          <w:szCs w:val="20"/>
        </w:rPr>
        <w:t xml:space="preserve">Every hospital is different and is starting at a different place.  </w:t>
      </w:r>
      <w:r w:rsidR="00013CCD">
        <w:rPr>
          <w:rFonts w:asciiTheme="minorHAnsi" w:hAnsiTheme="minorHAnsi" w:cstheme="minorHAnsi"/>
          <w:sz w:val="20"/>
          <w:szCs w:val="20"/>
        </w:rPr>
        <w:t>Your readiness survey should help direct your team on where you may want to start.</w:t>
      </w:r>
    </w:p>
    <w:p w14:paraId="6EF1BD78" w14:textId="62FF4958" w:rsidR="005964EB" w:rsidRPr="0001580C" w:rsidRDefault="00AA4FBE" w:rsidP="00AA4FBE">
      <w:pPr>
        <w:pStyle w:val="ListParagraph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158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746271" w14:textId="77777777" w:rsidR="007665F1" w:rsidRPr="0001580C" w:rsidRDefault="007665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1580C">
        <w:rPr>
          <w:rFonts w:asciiTheme="minorHAnsi" w:hAnsiTheme="minorHAnsi" w:cstheme="minorHAnsi"/>
          <w:sz w:val="20"/>
          <w:szCs w:val="20"/>
        </w:rPr>
        <w:t>Reach out to ILPQC for help (info@ilpqc.org) and celebrate your successes with you</w:t>
      </w:r>
      <w:r w:rsidR="00EA4D93" w:rsidRPr="0001580C">
        <w:rPr>
          <w:rFonts w:asciiTheme="minorHAnsi" w:hAnsiTheme="minorHAnsi" w:cstheme="minorHAnsi"/>
          <w:sz w:val="20"/>
          <w:szCs w:val="20"/>
        </w:rPr>
        <w:t>r</w:t>
      </w:r>
      <w:r w:rsidRPr="0001580C">
        <w:rPr>
          <w:rFonts w:asciiTheme="minorHAnsi" w:hAnsiTheme="minorHAnsi" w:cstheme="minorHAnsi"/>
          <w:sz w:val="20"/>
          <w:szCs w:val="20"/>
        </w:rPr>
        <w:t xml:space="preserve"> team early and often.</w:t>
      </w:r>
    </w:p>
    <w:sectPr w:rsidR="007665F1" w:rsidRPr="0001580C" w:rsidSect="00375D8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15CE" w14:textId="77777777" w:rsidR="00C46632" w:rsidRDefault="00C46632" w:rsidP="007665F1">
      <w:pPr>
        <w:spacing w:after="0" w:line="240" w:lineRule="auto"/>
      </w:pPr>
      <w:r>
        <w:separator/>
      </w:r>
    </w:p>
  </w:endnote>
  <w:endnote w:type="continuationSeparator" w:id="0">
    <w:p w14:paraId="1DECABE4" w14:textId="77777777" w:rsidR="00C46632" w:rsidRDefault="00C46632" w:rsidP="0076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3BDC" w14:textId="77777777" w:rsidR="00C46632" w:rsidRDefault="00C46632" w:rsidP="007665F1">
      <w:pPr>
        <w:spacing w:after="0" w:line="240" w:lineRule="auto"/>
      </w:pPr>
      <w:r>
        <w:separator/>
      </w:r>
    </w:p>
  </w:footnote>
  <w:footnote w:type="continuationSeparator" w:id="0">
    <w:p w14:paraId="133C6155" w14:textId="77777777" w:rsidR="00C46632" w:rsidRDefault="00C46632" w:rsidP="0076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1D41B" w14:textId="5D8639E8" w:rsidR="007665F1" w:rsidRPr="00655647" w:rsidRDefault="007665F1" w:rsidP="007665F1">
    <w:pPr>
      <w:rPr>
        <w:b/>
        <w:sz w:val="20"/>
        <w:szCs w:val="20"/>
      </w:rPr>
    </w:pPr>
    <w:r w:rsidRPr="00655647">
      <w:rPr>
        <w:b/>
        <w:sz w:val="20"/>
        <w:szCs w:val="20"/>
      </w:rPr>
      <w:t>1</w:t>
    </w:r>
    <w:r w:rsidR="003058A8">
      <w:rPr>
        <w:b/>
        <w:sz w:val="20"/>
        <w:szCs w:val="20"/>
      </w:rPr>
      <w:t>0</w:t>
    </w:r>
    <w:r w:rsidRPr="00655647">
      <w:rPr>
        <w:b/>
        <w:sz w:val="20"/>
        <w:szCs w:val="20"/>
      </w:rPr>
      <w:t xml:space="preserve"> Steps to Getting Started with the ILPQC </w:t>
    </w:r>
    <w:r w:rsidR="008E519C">
      <w:rPr>
        <w:b/>
        <w:sz w:val="20"/>
        <w:szCs w:val="20"/>
      </w:rPr>
      <w:t>Improving</w:t>
    </w:r>
    <w:r w:rsidR="003F0CAF">
      <w:rPr>
        <w:b/>
        <w:sz w:val="20"/>
        <w:szCs w:val="20"/>
      </w:rPr>
      <w:t xml:space="preserve"> Postpartum </w:t>
    </w:r>
    <w:r w:rsidR="008E519C">
      <w:rPr>
        <w:b/>
        <w:sz w:val="20"/>
        <w:szCs w:val="20"/>
      </w:rPr>
      <w:t>Access to Care</w:t>
    </w:r>
    <w:r w:rsidR="003F0CAF">
      <w:rPr>
        <w:b/>
        <w:sz w:val="20"/>
        <w:szCs w:val="20"/>
      </w:rPr>
      <w:t xml:space="preserve"> (IPAC) Initiative </w:t>
    </w:r>
  </w:p>
  <w:p w14:paraId="1062DA24" w14:textId="77777777" w:rsidR="007665F1" w:rsidRDefault="00766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DAF"/>
    <w:multiLevelType w:val="multilevel"/>
    <w:tmpl w:val="277A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94889"/>
    <w:multiLevelType w:val="hybridMultilevel"/>
    <w:tmpl w:val="0874B84E"/>
    <w:lvl w:ilvl="0" w:tplc="3178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4E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CB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A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0D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04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0A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20BCA"/>
    <w:multiLevelType w:val="hybridMultilevel"/>
    <w:tmpl w:val="F6F4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FA9F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4099"/>
    <w:multiLevelType w:val="hybridMultilevel"/>
    <w:tmpl w:val="DF881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7629A"/>
    <w:multiLevelType w:val="hybridMultilevel"/>
    <w:tmpl w:val="F2703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F6044"/>
    <w:multiLevelType w:val="hybridMultilevel"/>
    <w:tmpl w:val="D910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429FE"/>
    <w:multiLevelType w:val="hybridMultilevel"/>
    <w:tmpl w:val="41826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646ED8"/>
    <w:multiLevelType w:val="hybridMultilevel"/>
    <w:tmpl w:val="5FDCD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60"/>
    <w:rsid w:val="00013CCD"/>
    <w:rsid w:val="0001580C"/>
    <w:rsid w:val="00044476"/>
    <w:rsid w:val="00091CBE"/>
    <w:rsid w:val="000C01A7"/>
    <w:rsid w:val="000C34A9"/>
    <w:rsid w:val="001075BA"/>
    <w:rsid w:val="00116A3B"/>
    <w:rsid w:val="0012623F"/>
    <w:rsid w:val="00126E60"/>
    <w:rsid w:val="00143FAE"/>
    <w:rsid w:val="001B00B3"/>
    <w:rsid w:val="001B55A3"/>
    <w:rsid w:val="001E1DCB"/>
    <w:rsid w:val="00220594"/>
    <w:rsid w:val="002244B6"/>
    <w:rsid w:val="00282818"/>
    <w:rsid w:val="002C591F"/>
    <w:rsid w:val="003058A8"/>
    <w:rsid w:val="003200F1"/>
    <w:rsid w:val="00334FE7"/>
    <w:rsid w:val="00342E57"/>
    <w:rsid w:val="003535BE"/>
    <w:rsid w:val="00363C90"/>
    <w:rsid w:val="00375D89"/>
    <w:rsid w:val="0037699B"/>
    <w:rsid w:val="00393AD0"/>
    <w:rsid w:val="003C290B"/>
    <w:rsid w:val="003C701C"/>
    <w:rsid w:val="003D192E"/>
    <w:rsid w:val="003D6293"/>
    <w:rsid w:val="003E771A"/>
    <w:rsid w:val="003F0CAF"/>
    <w:rsid w:val="003F4D96"/>
    <w:rsid w:val="00400A86"/>
    <w:rsid w:val="00407CF6"/>
    <w:rsid w:val="0043298A"/>
    <w:rsid w:val="004E78A3"/>
    <w:rsid w:val="0054575A"/>
    <w:rsid w:val="00571A7D"/>
    <w:rsid w:val="005964EB"/>
    <w:rsid w:val="005D3480"/>
    <w:rsid w:val="00613530"/>
    <w:rsid w:val="00621256"/>
    <w:rsid w:val="006324F6"/>
    <w:rsid w:val="00642F4D"/>
    <w:rsid w:val="00654103"/>
    <w:rsid w:val="00655647"/>
    <w:rsid w:val="0067473B"/>
    <w:rsid w:val="00675262"/>
    <w:rsid w:val="00684B1B"/>
    <w:rsid w:val="006A2A02"/>
    <w:rsid w:val="006A3F15"/>
    <w:rsid w:val="006B2FA2"/>
    <w:rsid w:val="006B3AEB"/>
    <w:rsid w:val="006C7D12"/>
    <w:rsid w:val="006F2461"/>
    <w:rsid w:val="006F25A8"/>
    <w:rsid w:val="00706024"/>
    <w:rsid w:val="0075174E"/>
    <w:rsid w:val="007665F1"/>
    <w:rsid w:val="007B07AB"/>
    <w:rsid w:val="007C364F"/>
    <w:rsid w:val="007E43F9"/>
    <w:rsid w:val="00826A1A"/>
    <w:rsid w:val="00870AAE"/>
    <w:rsid w:val="008A3D06"/>
    <w:rsid w:val="008B3EB0"/>
    <w:rsid w:val="008B4E16"/>
    <w:rsid w:val="008B6F5A"/>
    <w:rsid w:val="008C71A6"/>
    <w:rsid w:val="008D45C5"/>
    <w:rsid w:val="008E519C"/>
    <w:rsid w:val="008F4A39"/>
    <w:rsid w:val="009116B3"/>
    <w:rsid w:val="00915E65"/>
    <w:rsid w:val="00933EC5"/>
    <w:rsid w:val="009465E1"/>
    <w:rsid w:val="00952C3B"/>
    <w:rsid w:val="00962C61"/>
    <w:rsid w:val="009A6E4F"/>
    <w:rsid w:val="009E0E5B"/>
    <w:rsid w:val="00A11A87"/>
    <w:rsid w:val="00A36799"/>
    <w:rsid w:val="00A51ABA"/>
    <w:rsid w:val="00A65405"/>
    <w:rsid w:val="00AA4FBE"/>
    <w:rsid w:val="00AB43E2"/>
    <w:rsid w:val="00AD78B1"/>
    <w:rsid w:val="00B62C39"/>
    <w:rsid w:val="00C46632"/>
    <w:rsid w:val="00C70320"/>
    <w:rsid w:val="00C82860"/>
    <w:rsid w:val="00CA071F"/>
    <w:rsid w:val="00CB00B0"/>
    <w:rsid w:val="00CB54C0"/>
    <w:rsid w:val="00CD57DE"/>
    <w:rsid w:val="00D043A2"/>
    <w:rsid w:val="00DB615E"/>
    <w:rsid w:val="00E11D23"/>
    <w:rsid w:val="00E35340"/>
    <w:rsid w:val="00E87AAF"/>
    <w:rsid w:val="00E91AEE"/>
    <w:rsid w:val="00EA4D93"/>
    <w:rsid w:val="00ED7871"/>
    <w:rsid w:val="00F06461"/>
    <w:rsid w:val="00F21B2E"/>
    <w:rsid w:val="00F42A95"/>
    <w:rsid w:val="00F51B18"/>
    <w:rsid w:val="00FC2EE0"/>
    <w:rsid w:val="00FD1C35"/>
    <w:rsid w:val="00FD227B"/>
    <w:rsid w:val="00FD6877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B3D8"/>
  <w15:docId w15:val="{A5E47BA4-F3DC-40BA-9BA1-ECAB802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65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F1"/>
  </w:style>
  <w:style w:type="paragraph" w:styleId="Footer">
    <w:name w:val="footer"/>
    <w:basedOn w:val="Normal"/>
    <w:link w:val="FooterChar"/>
    <w:uiPriority w:val="99"/>
    <w:unhideWhenUsed/>
    <w:rsid w:val="0076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F1"/>
  </w:style>
  <w:style w:type="character" w:styleId="CommentReference">
    <w:name w:val="annotation reference"/>
    <w:basedOn w:val="DefaultParagraphFont"/>
    <w:uiPriority w:val="99"/>
    <w:semiHidden/>
    <w:unhideWhenUsed/>
    <w:rsid w:val="00CD5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7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7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Ann Lee King</dc:creator>
  <cp:lastModifiedBy>Perrault, Autumn</cp:lastModifiedBy>
  <cp:revision>2</cp:revision>
  <dcterms:created xsi:type="dcterms:W3CDTF">2019-05-16T17:56:00Z</dcterms:created>
  <dcterms:modified xsi:type="dcterms:W3CDTF">2019-05-16T17:56:00Z</dcterms:modified>
</cp:coreProperties>
</file>