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49565" w14:textId="77777777" w:rsidR="00DC43DC" w:rsidRPr="00AE71B2" w:rsidRDefault="00DC43DC" w:rsidP="00DC43D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4CBC72E8" wp14:editId="133EDF8A">
            <wp:simplePos x="0" y="0"/>
            <wp:positionH relativeFrom="column">
              <wp:posOffset>5108575</wp:posOffset>
            </wp:positionH>
            <wp:positionV relativeFrom="paragraph">
              <wp:posOffset>-784225</wp:posOffset>
            </wp:positionV>
            <wp:extent cx="1614391" cy="762000"/>
            <wp:effectExtent l="0" t="0" r="1143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91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7A3D">
        <w:rPr>
          <w:rFonts w:ascii="Bookman Old Style" w:hAnsi="Bookman Old Style"/>
          <w:b/>
          <w:sz w:val="32"/>
          <w:u w:val="single"/>
        </w:rPr>
        <w:t xml:space="preserve"> </w:t>
      </w:r>
      <w:r w:rsidRPr="00AE71B2">
        <w:rPr>
          <w:rFonts w:ascii="Calibri" w:hAnsi="Calibri" w:cs="Calibri"/>
          <w:b/>
          <w:sz w:val="24"/>
          <w:szCs w:val="24"/>
          <w:u w:val="single"/>
        </w:rPr>
        <w:t>Think Cultural Health Information Sheet</w:t>
      </w:r>
    </w:p>
    <w:p w14:paraId="53340601" w14:textId="77777777" w:rsidR="00DC43DC" w:rsidRPr="00AE71B2" w:rsidRDefault="00DC43DC" w:rsidP="00DC43DC">
      <w:pPr>
        <w:rPr>
          <w:rFonts w:ascii="Calibri" w:hAnsi="Calibri" w:cs="Calibri"/>
          <w:b/>
          <w:sz w:val="24"/>
          <w:szCs w:val="24"/>
        </w:rPr>
      </w:pPr>
      <w:r w:rsidRPr="00AE71B2">
        <w:rPr>
          <w:rFonts w:ascii="Calibri" w:hAnsi="Calibri" w:cs="Calibri"/>
          <w:b/>
          <w:sz w:val="24"/>
          <w:szCs w:val="24"/>
        </w:rPr>
        <w:t>Description:</w:t>
      </w:r>
    </w:p>
    <w:p w14:paraId="5F74F5AC" w14:textId="0A956104" w:rsidR="00E71238" w:rsidRPr="00F1405B" w:rsidRDefault="00BC132C" w:rsidP="00DC43DC">
      <w:pPr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S</w:t>
      </w:r>
      <w:r w:rsidR="00DC43DC" w:rsidRPr="00AE71B2">
        <w:rPr>
          <w:rFonts w:ascii="Calibri" w:hAnsi="Calibri" w:cs="Calibri"/>
          <w:sz w:val="24"/>
          <w:szCs w:val="24"/>
        </w:rPr>
        <w:t xml:space="preserve">ponsored by the Office of Minority Health, Think Cultural Health is a website created to provide resources and continuing education opportunities for health professionals and healthcare organizations to advance health equity, improve healthcare quality, and eliminate healthcare disparities. </w:t>
      </w:r>
      <w:r w:rsidRPr="00AE71B2">
        <w:rPr>
          <w:rFonts w:ascii="Calibri" w:hAnsi="Calibri" w:cs="Calibri"/>
          <w:sz w:val="24"/>
          <w:szCs w:val="24"/>
        </w:rPr>
        <w:t>This program</w:t>
      </w:r>
      <w:r w:rsidR="00DC43DC" w:rsidRPr="00AE71B2">
        <w:rPr>
          <w:rFonts w:ascii="Calibri" w:hAnsi="Calibri" w:cs="Calibri"/>
          <w:sz w:val="24"/>
          <w:szCs w:val="24"/>
        </w:rPr>
        <w:t xml:space="preserve"> details Culturally and Linguistically Appropriate Services (CLAS) in maternal health care in a 4-module program to support maternal health care providers</w:t>
      </w:r>
      <w:r w:rsidRPr="00AE71B2">
        <w:rPr>
          <w:rFonts w:ascii="Calibri" w:hAnsi="Calibri" w:cs="Calibri"/>
          <w:sz w:val="24"/>
          <w:szCs w:val="24"/>
        </w:rPr>
        <w:t xml:space="preserve"> in advancing health equity, improving quality, and reducing disparities. It is one of the 2 equity and bias trainings recommended by ILPQC.</w:t>
      </w:r>
      <w:bookmarkStart w:id="0" w:name="_GoBack"/>
      <w:bookmarkEnd w:id="0"/>
    </w:p>
    <w:p w14:paraId="58C1AF96" w14:textId="338DBC13" w:rsidR="00DC43DC" w:rsidRPr="00AE71B2" w:rsidRDefault="00DC43DC" w:rsidP="00DC43DC">
      <w:pPr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b/>
          <w:sz w:val="24"/>
          <w:szCs w:val="24"/>
        </w:rPr>
        <w:t>Education Content available:</w:t>
      </w:r>
      <w:r w:rsidR="00DD2D83" w:rsidRPr="00AE71B2">
        <w:rPr>
          <w:rFonts w:ascii="Calibri" w:hAnsi="Calibri" w:cs="Calibri"/>
          <w:sz w:val="24"/>
          <w:szCs w:val="24"/>
        </w:rPr>
        <w:t xml:space="preserve"> Introduction, Pretest, 4 modules, Posttest, &amp; Evaluation</w:t>
      </w:r>
    </w:p>
    <w:p w14:paraId="1F6368BB" w14:textId="036B831C" w:rsidR="00DC43DC" w:rsidRPr="00AE71B2" w:rsidRDefault="00DC43DC" w:rsidP="00E71238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 xml:space="preserve">Module 1: </w:t>
      </w:r>
      <w:r w:rsidRPr="00AE71B2">
        <w:rPr>
          <w:rFonts w:ascii="Calibri" w:hAnsi="Calibri" w:cs="Calibri"/>
          <w:b/>
          <w:sz w:val="24"/>
          <w:szCs w:val="24"/>
        </w:rPr>
        <w:t>An introduction to CLAS in maternal health care</w:t>
      </w:r>
      <w:r w:rsidRPr="00AE71B2">
        <w:rPr>
          <w:rFonts w:ascii="Calibri" w:hAnsi="Calibri" w:cs="Calibri"/>
          <w:sz w:val="24"/>
          <w:szCs w:val="24"/>
        </w:rPr>
        <w:t xml:space="preserve"> </w:t>
      </w:r>
    </w:p>
    <w:p w14:paraId="5A3129E5" w14:textId="5E8D2D9F" w:rsidR="00DC43DC" w:rsidRPr="00AE71B2" w:rsidRDefault="00DC43DC" w:rsidP="00E71238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 xml:space="preserve">Module 2: </w:t>
      </w:r>
      <w:r w:rsidRPr="00AE71B2">
        <w:rPr>
          <w:rFonts w:ascii="Calibri" w:hAnsi="Calibri" w:cs="Calibri"/>
          <w:b/>
          <w:sz w:val="24"/>
          <w:szCs w:val="24"/>
        </w:rPr>
        <w:t>Self-awareness</w:t>
      </w:r>
      <w:r w:rsidRPr="00AE71B2">
        <w:rPr>
          <w:rFonts w:ascii="Calibri" w:hAnsi="Calibri" w:cs="Calibri"/>
          <w:sz w:val="24"/>
          <w:szCs w:val="24"/>
        </w:rPr>
        <w:t xml:space="preserve"> </w:t>
      </w:r>
    </w:p>
    <w:p w14:paraId="0A2BD2FF" w14:textId="5686AEDD" w:rsidR="00DC43DC" w:rsidRPr="00AE71B2" w:rsidRDefault="00DC43DC" w:rsidP="00E71238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 xml:space="preserve">Module 3: </w:t>
      </w:r>
      <w:r w:rsidRPr="00AE71B2">
        <w:rPr>
          <w:rFonts w:ascii="Calibri" w:hAnsi="Calibri" w:cs="Calibri"/>
          <w:b/>
          <w:sz w:val="24"/>
          <w:szCs w:val="24"/>
        </w:rPr>
        <w:t>Awareness of a patient’s cultural identity</w:t>
      </w:r>
      <w:r w:rsidRPr="00AE71B2">
        <w:rPr>
          <w:rFonts w:ascii="Calibri" w:hAnsi="Calibri" w:cs="Calibri"/>
          <w:sz w:val="24"/>
          <w:szCs w:val="24"/>
        </w:rPr>
        <w:t xml:space="preserve"> </w:t>
      </w:r>
    </w:p>
    <w:p w14:paraId="6850BA32" w14:textId="744E9E28" w:rsidR="00DC43DC" w:rsidRPr="00AE71B2" w:rsidRDefault="00DC43DC" w:rsidP="00E71238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 xml:space="preserve">Module 4: </w:t>
      </w:r>
      <w:r w:rsidRPr="00AE71B2">
        <w:rPr>
          <w:rFonts w:ascii="Calibri" w:hAnsi="Calibri" w:cs="Calibri"/>
          <w:b/>
          <w:sz w:val="24"/>
          <w:szCs w:val="24"/>
        </w:rPr>
        <w:t>Providing CLAS in maternal health care</w:t>
      </w:r>
      <w:r w:rsidRPr="00AE71B2">
        <w:rPr>
          <w:rFonts w:ascii="Calibri" w:hAnsi="Calibri" w:cs="Calibri"/>
          <w:sz w:val="24"/>
          <w:szCs w:val="24"/>
        </w:rPr>
        <w:t xml:space="preserve"> </w:t>
      </w:r>
    </w:p>
    <w:p w14:paraId="29E29943" w14:textId="751E6BD7" w:rsidR="00E71238" w:rsidRPr="00AE71B2" w:rsidRDefault="00E71238" w:rsidP="00DC43DC">
      <w:pPr>
        <w:rPr>
          <w:rFonts w:ascii="Calibri" w:hAnsi="Calibri" w:cs="Calibri"/>
          <w:b/>
          <w:sz w:val="24"/>
          <w:szCs w:val="24"/>
        </w:rPr>
      </w:pPr>
    </w:p>
    <w:p w14:paraId="7C040952" w14:textId="6C1D4815" w:rsidR="00DC43DC" w:rsidRPr="00AE71B2" w:rsidRDefault="0057630E" w:rsidP="00DC43DC">
      <w:pPr>
        <w:rPr>
          <w:rFonts w:ascii="Calibri" w:hAnsi="Calibri" w:cs="Calibri"/>
          <w:b/>
          <w:sz w:val="24"/>
          <w:szCs w:val="24"/>
        </w:rPr>
      </w:pPr>
      <w:r w:rsidRPr="00AE71B2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19E5ED7" wp14:editId="06242065">
            <wp:simplePos x="0" y="0"/>
            <wp:positionH relativeFrom="column">
              <wp:posOffset>2882900</wp:posOffset>
            </wp:positionH>
            <wp:positionV relativeFrom="paragraph">
              <wp:posOffset>101600</wp:posOffset>
            </wp:positionV>
            <wp:extent cx="3644900" cy="1790700"/>
            <wp:effectExtent l="25400" t="25400" r="38100" b="38100"/>
            <wp:wrapSquare wrapText="bothSides"/>
            <wp:docPr id="4" name="image4.png" descr="Macintosh HD:private:var:folders:bw:pjbzw8791dn1n9fsc58vm7vm0000gn:T:TemporaryItems:Screen Shot 2021-03-22 at 4.20.45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Macintosh HD:private:var:folders:bw:pjbzw8791dn1n9fsc58vm7vm0000gn:T:TemporaryItems:Screen Shot 2021-03-22 at 4.20.45 PM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790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3DC" w:rsidRPr="00AE71B2">
        <w:rPr>
          <w:rFonts w:ascii="Calibri" w:hAnsi="Calibri" w:cs="Calibri"/>
          <w:b/>
          <w:sz w:val="24"/>
          <w:szCs w:val="24"/>
        </w:rPr>
        <w:t>Access Information:</w:t>
      </w:r>
    </w:p>
    <w:p w14:paraId="41E683FA" w14:textId="449E37B1" w:rsidR="00DC43DC" w:rsidRPr="00AE71B2" w:rsidRDefault="00DC43DC" w:rsidP="00DC43DC">
      <w:pPr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 xml:space="preserve">Login or register at the Think Cultural Health </w:t>
      </w:r>
      <w:hyperlink r:id="rId7">
        <w:r w:rsidRPr="00AE71B2">
          <w:rPr>
            <w:rStyle w:val="Hyperlink"/>
            <w:rFonts w:ascii="Calibri" w:hAnsi="Calibri" w:cs="Calibri"/>
            <w:sz w:val="24"/>
            <w:szCs w:val="24"/>
          </w:rPr>
          <w:t>website</w:t>
        </w:r>
      </w:hyperlink>
      <w:r w:rsidRPr="00AE71B2">
        <w:rPr>
          <w:rFonts w:ascii="Calibri" w:hAnsi="Calibri" w:cs="Calibri"/>
          <w:sz w:val="24"/>
          <w:szCs w:val="24"/>
        </w:rPr>
        <w:t xml:space="preserve"> </w:t>
      </w:r>
    </w:p>
    <w:p w14:paraId="4361EAF5" w14:textId="5C998CDE" w:rsidR="00DC43DC" w:rsidRPr="00AE71B2" w:rsidRDefault="00DC43DC" w:rsidP="00DC43DC">
      <w:pPr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Choose Maternal Health Care Providers - Culturally and Linguistically Appropriate Services (CLAS) in Maternal Health Care program</w:t>
      </w:r>
    </w:p>
    <w:p w14:paraId="1E7F8A61" w14:textId="120C1521" w:rsidR="00DC43DC" w:rsidRPr="00AE71B2" w:rsidRDefault="00DC43DC" w:rsidP="00DC43DC">
      <w:pPr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Login, Read the Overview, Choose appropriate credit information &amp; click Continue</w:t>
      </w:r>
    </w:p>
    <w:p w14:paraId="1DEC68C2" w14:textId="74934D0E" w:rsidR="00DC43DC" w:rsidRPr="00AE71B2" w:rsidRDefault="00E71238" w:rsidP="00DC43DC">
      <w:pPr>
        <w:jc w:val="center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CF6CC3" wp14:editId="342B692C">
                <wp:simplePos x="0" y="0"/>
                <wp:positionH relativeFrom="margin">
                  <wp:posOffset>-57150</wp:posOffset>
                </wp:positionH>
                <wp:positionV relativeFrom="margin">
                  <wp:posOffset>6350000</wp:posOffset>
                </wp:positionV>
                <wp:extent cx="6451600" cy="1698625"/>
                <wp:effectExtent l="19050" t="19050" r="25400" b="15875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16986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9804"/>
                          </a:schemeClr>
                        </a:solidFill>
                        <a:ln w="28575">
                          <a:solidFill>
                            <a:srgbClr val="00499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0A8A2" w14:textId="77777777" w:rsidR="00EC03E4" w:rsidRDefault="00EC03E4" w:rsidP="00DC43DC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u w:val="single"/>
                              </w:rPr>
                            </w:pPr>
                            <w:r w:rsidRPr="009C6715">
                              <w:rPr>
                                <w:rFonts w:ascii="Bookman Old Style" w:hAnsi="Bookman Old Style"/>
                                <w:color w:val="000000" w:themeColor="text1"/>
                                <w:u w:val="single"/>
                              </w:rPr>
                              <w:t>Implementation strategies for the QI team</w:t>
                            </w:r>
                          </w:p>
                          <w:p w14:paraId="256398DA" w14:textId="78EBA44E" w:rsidR="00EC03E4" w:rsidRPr="00BF02DA" w:rsidRDefault="00EC03E4" w:rsidP="00BF02DA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BF02DA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In a small group setting with an appropriate facilitator:</w:t>
                            </w:r>
                          </w:p>
                          <w:p w14:paraId="46822A90" w14:textId="2C6BBBC5" w:rsidR="00EC03E4" w:rsidRPr="00882AAA" w:rsidRDefault="00EC03E4" w:rsidP="00DC43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82AA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Idea 1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: Use the embedded “What do you think?” prompts to start discussion</w:t>
                            </w:r>
                            <w:r w:rsidRPr="00882AA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AA7BCBE" w14:textId="2AD3C93C" w:rsidR="00EC03E4" w:rsidRPr="00882AAA" w:rsidRDefault="00EC03E4" w:rsidP="00DC43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82AA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Idea 2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: Use the embedded case studies in each module as a basis for a simulation</w:t>
                            </w:r>
                          </w:p>
                          <w:p w14:paraId="6000841D" w14:textId="23F2D95D" w:rsidR="00EC03E4" w:rsidRDefault="00EC03E4" w:rsidP="00DC43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82AA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Idea 3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: Use the “What can I do next?” page and list of resources to encourage participants to identify and commit to further action and discussion.</w:t>
                            </w:r>
                          </w:p>
                          <w:p w14:paraId="0ED92421" w14:textId="77777777" w:rsidR="00EC03E4" w:rsidRPr="009C6715" w:rsidRDefault="00EC03E4" w:rsidP="00DC43D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B4BC66D" w14:textId="77777777" w:rsidR="00EC03E4" w:rsidRDefault="00EC03E4" w:rsidP="00DC43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F6CC3" id="Rounded Rectangle 2" o:spid="_x0000_s1026" style="position:absolute;left:0;text-align:left;margin-left:-4.5pt;margin-top:500pt;width:508pt;height:1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" fillcolor="#c6d9f1 [671]" strokecolor="#004990" strokeweight="2.25pt">
                <v:fill opacity="32639f"/>
                <v:textbox>
                  <w:txbxContent>
                    <w:p w14:paraId="57F0A8A2" w14:textId="77777777" w:rsidR="00EC03E4" w:rsidRDefault="00EC03E4" w:rsidP="00DC43DC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u w:val="single"/>
                        </w:rPr>
                      </w:pPr>
                      <w:r w:rsidRPr="009C6715">
                        <w:rPr>
                          <w:rFonts w:ascii="Bookman Old Style" w:hAnsi="Bookman Old Style"/>
                          <w:color w:val="000000" w:themeColor="text1"/>
                          <w:u w:val="single"/>
                        </w:rPr>
                        <w:t>Implementation strategies for the QI team</w:t>
                      </w:r>
                    </w:p>
                    <w:p w14:paraId="256398DA" w14:textId="78EBA44E" w:rsidR="00EC03E4" w:rsidRPr="00BF02DA" w:rsidRDefault="00EC03E4" w:rsidP="00BF02DA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BF02DA">
                        <w:rPr>
                          <w:rFonts w:ascii="Bookman Old Style" w:hAnsi="Bookman Old Style"/>
                          <w:color w:val="000000" w:themeColor="text1"/>
                        </w:rPr>
                        <w:t>In a small group setting with an appropriate facilitator:</w:t>
                      </w:r>
                    </w:p>
                    <w:p w14:paraId="46822A90" w14:textId="2C6BBBC5" w:rsidR="00EC03E4" w:rsidRPr="00882AAA" w:rsidRDefault="00EC03E4" w:rsidP="00DC43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82AAA">
                        <w:rPr>
                          <w:rFonts w:ascii="Century Gothic" w:hAnsi="Century Gothic"/>
                          <w:color w:val="000000" w:themeColor="text1"/>
                        </w:rPr>
                        <w:t>Idea 1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: Use the embedded “What do you think?” prompts to start discussion</w:t>
                      </w:r>
                      <w:r w:rsidRPr="00882AAA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0AA7BCBE" w14:textId="2AD3C93C" w:rsidR="00EC03E4" w:rsidRPr="00882AAA" w:rsidRDefault="00EC03E4" w:rsidP="00DC43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82AAA">
                        <w:rPr>
                          <w:rFonts w:ascii="Century Gothic" w:hAnsi="Century Gothic"/>
                          <w:color w:val="000000" w:themeColor="text1"/>
                        </w:rPr>
                        <w:t>Idea 2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: Use the embedded case studies in each module as a basis for a simulation</w:t>
                      </w:r>
                    </w:p>
                    <w:p w14:paraId="6000841D" w14:textId="23F2D95D" w:rsidR="00EC03E4" w:rsidRDefault="00EC03E4" w:rsidP="00DC43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82AAA">
                        <w:rPr>
                          <w:rFonts w:ascii="Century Gothic" w:hAnsi="Century Gothic"/>
                          <w:color w:val="000000" w:themeColor="text1"/>
                        </w:rPr>
                        <w:t>Idea 3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: Use the “What can I do next?” page and list of resources to encourage participants to identify and commit to further action and discussion.</w:t>
                      </w:r>
                    </w:p>
                    <w:p w14:paraId="0ED92421" w14:textId="77777777" w:rsidR="00EC03E4" w:rsidRPr="009C6715" w:rsidRDefault="00EC03E4" w:rsidP="00DC43DC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B4BC66D" w14:textId="77777777" w:rsidR="00EC03E4" w:rsidRDefault="00EC03E4" w:rsidP="00DC43DC"/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17B92D3" w14:textId="6E4E43A3" w:rsidR="00DC43DC" w:rsidRPr="00AE71B2" w:rsidRDefault="00DC43DC" w:rsidP="00E71238">
      <w:pPr>
        <w:rPr>
          <w:rFonts w:ascii="Calibri" w:hAnsi="Calibri" w:cs="Calibri"/>
          <w:sz w:val="24"/>
          <w:szCs w:val="24"/>
        </w:rPr>
      </w:pPr>
    </w:p>
    <w:p w14:paraId="466750D5" w14:textId="77777777" w:rsidR="00EB54FA" w:rsidRPr="00AE71B2" w:rsidRDefault="00F13A97" w:rsidP="00F13A97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E71B2">
        <w:rPr>
          <w:rFonts w:ascii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37941E7" wp14:editId="0227D806">
            <wp:simplePos x="0" y="0"/>
            <wp:positionH relativeFrom="column">
              <wp:posOffset>5095875</wp:posOffset>
            </wp:positionH>
            <wp:positionV relativeFrom="paragraph">
              <wp:posOffset>-746125</wp:posOffset>
            </wp:positionV>
            <wp:extent cx="1614391" cy="762000"/>
            <wp:effectExtent l="0" t="0" r="1143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91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1B2">
        <w:rPr>
          <w:rFonts w:ascii="Calibri" w:hAnsi="Calibri" w:cs="Calibri"/>
          <w:b/>
          <w:sz w:val="24"/>
          <w:szCs w:val="24"/>
          <w:u w:val="single"/>
        </w:rPr>
        <w:t>Think Cultural Health</w:t>
      </w:r>
      <w:r w:rsidR="00DC43DC" w:rsidRPr="00AE71B2">
        <w:rPr>
          <w:rFonts w:ascii="Calibri" w:hAnsi="Calibri" w:cs="Calibri"/>
          <w:b/>
          <w:sz w:val="24"/>
          <w:szCs w:val="24"/>
          <w:u w:val="single"/>
        </w:rPr>
        <w:t xml:space="preserve">: </w:t>
      </w:r>
    </w:p>
    <w:p w14:paraId="56D3E924" w14:textId="0494E482" w:rsidR="00F13A97" w:rsidRPr="00AE71B2" w:rsidRDefault="00DD2D83" w:rsidP="00F13A97">
      <w:pPr>
        <w:jc w:val="center"/>
        <w:rPr>
          <w:rFonts w:ascii="Calibri" w:hAnsi="Calibri" w:cs="Calibri"/>
          <w:b/>
          <w:sz w:val="24"/>
          <w:szCs w:val="24"/>
        </w:rPr>
      </w:pPr>
      <w:r w:rsidRPr="00AE71B2">
        <w:rPr>
          <w:rFonts w:ascii="Calibri" w:hAnsi="Calibri" w:cs="Calibri"/>
          <w:b/>
          <w:sz w:val="24"/>
          <w:szCs w:val="24"/>
          <w:u w:val="single"/>
        </w:rPr>
        <w:t>Expanded Education Information</w:t>
      </w:r>
      <w:r w:rsidR="00F13A97" w:rsidRPr="00AE71B2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34E0CDA8" w14:textId="5D81C498" w:rsidR="00F13A97" w:rsidRPr="00AE71B2" w:rsidRDefault="00F13A97" w:rsidP="00F13A97">
      <w:pPr>
        <w:rPr>
          <w:rFonts w:ascii="Calibri" w:hAnsi="Calibri" w:cs="Calibri"/>
          <w:b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 xml:space="preserve">Each module incorporates self-reflective questions, “tell me more” options, case study, quiz, and next steps with a list of related resources. Glossary, Reference List, and Resource Library are also available. </w:t>
      </w:r>
    </w:p>
    <w:p w14:paraId="2F3E66FF" w14:textId="788BBFD0" w:rsidR="00F13A97" w:rsidRPr="00AE71B2" w:rsidRDefault="00F13A97" w:rsidP="00EB54FA">
      <w:pPr>
        <w:spacing w:after="120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b/>
          <w:sz w:val="24"/>
          <w:szCs w:val="24"/>
          <w:u w:val="single"/>
        </w:rPr>
        <w:t>Module 1</w:t>
      </w:r>
      <w:r w:rsidRPr="00AE71B2">
        <w:rPr>
          <w:rFonts w:ascii="Calibri" w:hAnsi="Calibri" w:cs="Calibri"/>
          <w:sz w:val="24"/>
          <w:szCs w:val="24"/>
        </w:rPr>
        <w:t xml:space="preserve">, </w:t>
      </w:r>
      <w:proofErr w:type="gramStart"/>
      <w:r w:rsidRPr="00AE71B2">
        <w:rPr>
          <w:rFonts w:ascii="Calibri" w:hAnsi="Calibri" w:cs="Calibri"/>
          <w:b/>
          <w:sz w:val="24"/>
          <w:szCs w:val="24"/>
        </w:rPr>
        <w:t>An</w:t>
      </w:r>
      <w:proofErr w:type="gramEnd"/>
      <w:r w:rsidRPr="00AE71B2">
        <w:rPr>
          <w:rFonts w:ascii="Calibri" w:hAnsi="Calibri" w:cs="Calibri"/>
          <w:b/>
          <w:sz w:val="24"/>
          <w:szCs w:val="24"/>
        </w:rPr>
        <w:t xml:space="preserve"> introduction to CLAS in maternal health care</w:t>
      </w:r>
      <w:r w:rsidRPr="00AE71B2">
        <w:rPr>
          <w:rFonts w:ascii="Calibri" w:hAnsi="Calibri" w:cs="Calibri"/>
          <w:sz w:val="24"/>
          <w:szCs w:val="24"/>
        </w:rPr>
        <w:t>, examines the role of CLAS in improving quality and eliminating disparities in maternal health care. This module focuses on the following concepts:</w:t>
      </w:r>
    </w:p>
    <w:p w14:paraId="08020AA0" w14:textId="317179AB" w:rsidR="00F13A97" w:rsidRPr="00AE71B2" w:rsidRDefault="00F13A97" w:rsidP="00F13A97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CLAS and healthcare quality</w:t>
      </w:r>
    </w:p>
    <w:p w14:paraId="515E4243" w14:textId="77777777" w:rsidR="00F13A97" w:rsidRPr="00AE71B2" w:rsidRDefault="00F13A97" w:rsidP="00F13A97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Cultural competency and cultural humility</w:t>
      </w:r>
    </w:p>
    <w:p w14:paraId="2820EFA4" w14:textId="5764B9C7" w:rsidR="00F13A97" w:rsidRPr="00AE71B2" w:rsidRDefault="00F13A97" w:rsidP="00F13A97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Racism and maternal health</w:t>
      </w:r>
    </w:p>
    <w:p w14:paraId="12961E41" w14:textId="1E0D80AA" w:rsidR="00F13A97" w:rsidRPr="00AE71B2" w:rsidRDefault="00F13A97" w:rsidP="00F13A97">
      <w:pPr>
        <w:numPr>
          <w:ilvl w:val="1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Maternal health disparities</w:t>
      </w:r>
    </w:p>
    <w:p w14:paraId="24135584" w14:textId="77777777" w:rsidR="00F13A97" w:rsidRPr="00AE71B2" w:rsidRDefault="00F13A97" w:rsidP="00F13A97">
      <w:pPr>
        <w:numPr>
          <w:ilvl w:val="1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Social Determinants of Health</w:t>
      </w:r>
    </w:p>
    <w:p w14:paraId="14C481BF" w14:textId="43293E56" w:rsidR="00F13A97" w:rsidRPr="00AE71B2" w:rsidRDefault="00F13A97" w:rsidP="00F13A97">
      <w:pPr>
        <w:numPr>
          <w:ilvl w:val="1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Institutionalized racism</w:t>
      </w:r>
    </w:p>
    <w:p w14:paraId="3D4A52CB" w14:textId="5F791135" w:rsidR="00F13A97" w:rsidRDefault="00F13A97" w:rsidP="00BC132C">
      <w:pPr>
        <w:numPr>
          <w:ilvl w:val="1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Weathering</w:t>
      </w:r>
    </w:p>
    <w:p w14:paraId="42961491" w14:textId="77777777" w:rsidR="00F1405B" w:rsidRPr="00AE71B2" w:rsidRDefault="00F1405B" w:rsidP="00F1405B">
      <w:p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6756FEB9" w14:textId="77777777" w:rsidR="00F13A97" w:rsidRPr="00AE71B2" w:rsidRDefault="00F13A97" w:rsidP="00EB54FA">
      <w:pPr>
        <w:spacing w:after="120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b/>
          <w:sz w:val="24"/>
          <w:szCs w:val="24"/>
          <w:u w:val="single"/>
        </w:rPr>
        <w:t>Module 2</w:t>
      </w:r>
      <w:r w:rsidRPr="00AE71B2">
        <w:rPr>
          <w:rFonts w:ascii="Calibri" w:hAnsi="Calibri" w:cs="Calibri"/>
          <w:sz w:val="24"/>
          <w:szCs w:val="24"/>
        </w:rPr>
        <w:t xml:space="preserve">, </w:t>
      </w:r>
      <w:r w:rsidRPr="00AE71B2">
        <w:rPr>
          <w:rFonts w:ascii="Calibri" w:hAnsi="Calibri" w:cs="Calibri"/>
          <w:b/>
          <w:sz w:val="24"/>
          <w:szCs w:val="24"/>
        </w:rPr>
        <w:t>Self-awareness</w:t>
      </w:r>
      <w:r w:rsidRPr="00AE71B2">
        <w:rPr>
          <w:rFonts w:ascii="Calibri" w:hAnsi="Calibri" w:cs="Calibri"/>
          <w:sz w:val="24"/>
          <w:szCs w:val="24"/>
        </w:rPr>
        <w:t>, helps participants become more aware of their beliefs and values, as well as their privilege, power, bias, and stereotypes. The following concepts are highlighted:</w:t>
      </w:r>
    </w:p>
    <w:p w14:paraId="0F76FC44" w14:textId="416FE026" w:rsidR="00F13A97" w:rsidRPr="00AE71B2" w:rsidRDefault="00F13A97" w:rsidP="00F13A97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Social &amp; cultural identity</w:t>
      </w:r>
    </w:p>
    <w:p w14:paraId="62B8763F" w14:textId="77777777" w:rsidR="00F13A97" w:rsidRPr="00AE71B2" w:rsidRDefault="00F13A97" w:rsidP="00F13A97">
      <w:pPr>
        <w:numPr>
          <w:ilvl w:val="1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Dominant/non-dominant social groups</w:t>
      </w:r>
    </w:p>
    <w:p w14:paraId="599D3BE8" w14:textId="77777777" w:rsidR="00F13A97" w:rsidRPr="00AE71B2" w:rsidRDefault="00F13A97" w:rsidP="00F13A97">
      <w:pPr>
        <w:numPr>
          <w:ilvl w:val="1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Privilege</w:t>
      </w:r>
    </w:p>
    <w:p w14:paraId="00101824" w14:textId="245391D3" w:rsidR="00F13A97" w:rsidRPr="00AE71B2" w:rsidRDefault="00F13A97" w:rsidP="00F13A97">
      <w:pPr>
        <w:numPr>
          <w:ilvl w:val="1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Power</w:t>
      </w:r>
    </w:p>
    <w:p w14:paraId="047ABCED" w14:textId="0D743158" w:rsidR="00F13A97" w:rsidRPr="00AE71B2" w:rsidRDefault="00F13A97" w:rsidP="00F13A97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Implicit bias and stereotyping</w:t>
      </w:r>
    </w:p>
    <w:p w14:paraId="73AE8B24" w14:textId="3B79DB83" w:rsidR="00F13A97" w:rsidRPr="00AE71B2" w:rsidRDefault="00F13A97" w:rsidP="00F13A97">
      <w:pPr>
        <w:numPr>
          <w:ilvl w:val="1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Impact on clinical encounters</w:t>
      </w:r>
    </w:p>
    <w:p w14:paraId="0A1CD0AC" w14:textId="220E7216" w:rsidR="00F13A97" w:rsidRPr="00AE71B2" w:rsidRDefault="00F13A97" w:rsidP="00F13A97">
      <w:pPr>
        <w:numPr>
          <w:ilvl w:val="1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Awareness</w:t>
      </w:r>
    </w:p>
    <w:p w14:paraId="144B344D" w14:textId="03A86F5A" w:rsidR="00F13A97" w:rsidRDefault="00F13A97" w:rsidP="00BC132C">
      <w:pPr>
        <w:numPr>
          <w:ilvl w:val="1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Strategies to address biases and stereotypes</w:t>
      </w:r>
    </w:p>
    <w:p w14:paraId="6FC47994" w14:textId="77777777" w:rsidR="00F1405B" w:rsidRPr="00AE71B2" w:rsidRDefault="00F1405B" w:rsidP="00F1405B">
      <w:p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2422293E" w14:textId="77777777" w:rsidR="00F13A97" w:rsidRPr="00AE71B2" w:rsidRDefault="00F13A97" w:rsidP="00EB54FA">
      <w:pPr>
        <w:spacing w:after="120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b/>
          <w:sz w:val="24"/>
          <w:szCs w:val="24"/>
          <w:u w:val="single"/>
        </w:rPr>
        <w:t>Module 3</w:t>
      </w:r>
      <w:r w:rsidRPr="00AE71B2">
        <w:rPr>
          <w:rFonts w:ascii="Calibri" w:hAnsi="Calibri" w:cs="Calibri"/>
          <w:sz w:val="24"/>
          <w:szCs w:val="24"/>
        </w:rPr>
        <w:t xml:space="preserve">, </w:t>
      </w:r>
      <w:r w:rsidRPr="00AE71B2">
        <w:rPr>
          <w:rFonts w:ascii="Calibri" w:hAnsi="Calibri" w:cs="Calibri"/>
          <w:b/>
          <w:sz w:val="24"/>
          <w:szCs w:val="24"/>
        </w:rPr>
        <w:t>Awareness of a patient’s cultural identity</w:t>
      </w:r>
      <w:r w:rsidRPr="00AE71B2">
        <w:rPr>
          <w:rFonts w:ascii="Calibri" w:hAnsi="Calibri" w:cs="Calibri"/>
          <w:sz w:val="24"/>
          <w:szCs w:val="24"/>
        </w:rPr>
        <w:t>, presents the how and why of getting to know a patient’s cultural identity. Concepts highlighted include:</w:t>
      </w:r>
    </w:p>
    <w:p w14:paraId="4D94FD00" w14:textId="77777777" w:rsidR="00F13A97" w:rsidRPr="00AE71B2" w:rsidRDefault="00F13A97" w:rsidP="00F13A97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Strategy of individuation</w:t>
      </w:r>
    </w:p>
    <w:p w14:paraId="67BABBCB" w14:textId="77777777" w:rsidR="00F13A97" w:rsidRPr="00AE71B2" w:rsidRDefault="00F13A97" w:rsidP="00F13A97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Intersectionality</w:t>
      </w:r>
    </w:p>
    <w:p w14:paraId="01C34FF0" w14:textId="77777777" w:rsidR="00F13A97" w:rsidRPr="00AE71B2" w:rsidRDefault="00F13A97" w:rsidP="00F13A97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E71B2">
        <w:rPr>
          <w:rFonts w:ascii="Calibri" w:hAnsi="Calibri" w:cs="Calibri"/>
          <w:sz w:val="24"/>
          <w:szCs w:val="24"/>
        </w:rPr>
        <w:t>Microaggressions</w:t>
      </w:r>
      <w:proofErr w:type="spellEnd"/>
    </w:p>
    <w:p w14:paraId="3CDE60F6" w14:textId="77777777" w:rsidR="00F13A97" w:rsidRPr="00AE71B2" w:rsidRDefault="00F13A97" w:rsidP="00F13A97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 xml:space="preserve">Perceived racial discrimination </w:t>
      </w:r>
    </w:p>
    <w:p w14:paraId="3A3A8EBE" w14:textId="77777777" w:rsidR="00F13A97" w:rsidRPr="00AE71B2" w:rsidRDefault="00F13A97" w:rsidP="00F13A97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History of racism</w:t>
      </w:r>
    </w:p>
    <w:p w14:paraId="7F602123" w14:textId="1FB782AA" w:rsidR="00F13A97" w:rsidRDefault="00F13A97" w:rsidP="00F13A97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Cultural humility</w:t>
      </w:r>
    </w:p>
    <w:p w14:paraId="5E1C6DAD" w14:textId="77777777" w:rsidR="00F1405B" w:rsidRPr="00AE71B2" w:rsidRDefault="00F1405B" w:rsidP="00F1405B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25E42D3C" w14:textId="77777777" w:rsidR="00F13A97" w:rsidRPr="00AE71B2" w:rsidRDefault="00F13A97" w:rsidP="00EB54FA">
      <w:pPr>
        <w:spacing w:after="120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b/>
          <w:sz w:val="24"/>
          <w:szCs w:val="24"/>
          <w:u w:val="single"/>
        </w:rPr>
        <w:t>Module 4</w:t>
      </w:r>
      <w:r w:rsidRPr="00AE71B2">
        <w:rPr>
          <w:rFonts w:ascii="Calibri" w:hAnsi="Calibri" w:cs="Calibri"/>
          <w:sz w:val="24"/>
          <w:szCs w:val="24"/>
        </w:rPr>
        <w:t xml:space="preserve">, </w:t>
      </w:r>
      <w:r w:rsidRPr="00AE71B2">
        <w:rPr>
          <w:rFonts w:ascii="Calibri" w:hAnsi="Calibri" w:cs="Calibri"/>
          <w:b/>
          <w:sz w:val="24"/>
          <w:szCs w:val="24"/>
        </w:rPr>
        <w:t>Providing CLAS in maternal health care</w:t>
      </w:r>
      <w:r w:rsidRPr="00AE71B2">
        <w:rPr>
          <w:rFonts w:ascii="Calibri" w:hAnsi="Calibri" w:cs="Calibri"/>
          <w:sz w:val="24"/>
          <w:szCs w:val="24"/>
        </w:rPr>
        <w:t>, explores ways to deliver respectful, compassionate, high quality care that responds to patients’ experiences, values, beliefs, and preferences. This module focuses on the following concepts:</w:t>
      </w:r>
    </w:p>
    <w:p w14:paraId="3DA81177" w14:textId="77777777" w:rsidR="00F13A97" w:rsidRPr="00AE71B2" w:rsidRDefault="00F13A97" w:rsidP="00F13A97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Review of cultural competency and cultural humility</w:t>
      </w:r>
    </w:p>
    <w:p w14:paraId="73B2E4AF" w14:textId="77777777" w:rsidR="00F13A97" w:rsidRPr="00AE71B2" w:rsidRDefault="00F13A97" w:rsidP="00F13A97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Person-centered care strategies</w:t>
      </w:r>
    </w:p>
    <w:p w14:paraId="30FC0157" w14:textId="77777777" w:rsidR="00F13A97" w:rsidRPr="00AE71B2" w:rsidRDefault="00F13A97" w:rsidP="00F13A97">
      <w:pPr>
        <w:numPr>
          <w:ilvl w:val="1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lastRenderedPageBreak/>
        <w:t>Effective communication strategies</w:t>
      </w:r>
    </w:p>
    <w:p w14:paraId="4ECC3282" w14:textId="77777777" w:rsidR="00F13A97" w:rsidRPr="00AE71B2" w:rsidRDefault="00F13A97" w:rsidP="00F13A97">
      <w:pPr>
        <w:numPr>
          <w:ilvl w:val="1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Partnership building</w:t>
      </w:r>
    </w:p>
    <w:p w14:paraId="4B2F18CA" w14:textId="51FD6A1A" w:rsidR="00BF02DA" w:rsidRPr="00AE71B2" w:rsidRDefault="00F13A97" w:rsidP="00BF02DA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E71B2">
        <w:rPr>
          <w:rFonts w:ascii="Calibri" w:hAnsi="Calibri" w:cs="Calibri"/>
          <w:sz w:val="24"/>
          <w:szCs w:val="24"/>
        </w:rPr>
        <w:t>Shared decision-makin</w:t>
      </w:r>
      <w:r w:rsidR="00BC132C" w:rsidRPr="00AE71B2">
        <w:rPr>
          <w:rFonts w:ascii="Calibri" w:hAnsi="Calibri" w:cs="Calibri"/>
          <w:sz w:val="24"/>
          <w:szCs w:val="24"/>
        </w:rPr>
        <w:t>g</w:t>
      </w:r>
    </w:p>
    <w:sectPr w:rsidR="00BF02DA" w:rsidRPr="00AE71B2" w:rsidSect="00E71238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2BA6"/>
    <w:multiLevelType w:val="hybridMultilevel"/>
    <w:tmpl w:val="942E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17AEA"/>
    <w:multiLevelType w:val="hybridMultilevel"/>
    <w:tmpl w:val="49CA49AA"/>
    <w:lvl w:ilvl="0" w:tplc="7CC895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70384"/>
    <w:multiLevelType w:val="multilevel"/>
    <w:tmpl w:val="2A9863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5654B6"/>
    <w:multiLevelType w:val="hybridMultilevel"/>
    <w:tmpl w:val="09822874"/>
    <w:lvl w:ilvl="0" w:tplc="7CC895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75E49"/>
    <w:multiLevelType w:val="multilevel"/>
    <w:tmpl w:val="6AB4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C4E27"/>
    <w:multiLevelType w:val="hybridMultilevel"/>
    <w:tmpl w:val="0882AD7A"/>
    <w:lvl w:ilvl="0" w:tplc="7CC895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80BE1"/>
    <w:multiLevelType w:val="multilevel"/>
    <w:tmpl w:val="EA2A1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494486"/>
    <w:multiLevelType w:val="hybridMultilevel"/>
    <w:tmpl w:val="04EC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97"/>
    <w:rsid w:val="00456D88"/>
    <w:rsid w:val="00505B5D"/>
    <w:rsid w:val="0057630E"/>
    <w:rsid w:val="005858B1"/>
    <w:rsid w:val="006671D3"/>
    <w:rsid w:val="008324CA"/>
    <w:rsid w:val="00AE71B2"/>
    <w:rsid w:val="00BC132C"/>
    <w:rsid w:val="00BF02DA"/>
    <w:rsid w:val="00D2063B"/>
    <w:rsid w:val="00DC43DC"/>
    <w:rsid w:val="00DD2D83"/>
    <w:rsid w:val="00DF101B"/>
    <w:rsid w:val="00E71238"/>
    <w:rsid w:val="00EB54FA"/>
    <w:rsid w:val="00EC03E4"/>
    <w:rsid w:val="00F13A97"/>
    <w:rsid w:val="00F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CA296"/>
  <w14:defaultImageDpi w14:val="300"/>
  <w15:docId w15:val="{7B7D398D-CBE1-45E5-B499-558EDD0B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A97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A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A97"/>
    <w:pPr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A97"/>
    <w:rPr>
      <w:rFonts w:ascii="Cambria" w:eastAsia="Cambria" w:hAnsi="Cambria" w:cs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A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A97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3A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inkculturalhealth.hhs.gov/maternal-health-care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Lamberson</dc:creator>
  <cp:keywords/>
  <dc:description/>
  <cp:lastModifiedBy>Ieshia Johnson</cp:lastModifiedBy>
  <cp:revision>2</cp:revision>
  <dcterms:created xsi:type="dcterms:W3CDTF">2021-05-11T22:20:00Z</dcterms:created>
  <dcterms:modified xsi:type="dcterms:W3CDTF">2021-05-11T22:20:00Z</dcterms:modified>
</cp:coreProperties>
</file>