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3E924" w14:textId="77777777" w:rsidR="00F13A97" w:rsidRPr="00EC7A3D" w:rsidRDefault="00F13A97" w:rsidP="00F13A97">
      <w:pPr>
        <w:jc w:val="center"/>
        <w:rPr>
          <w:rFonts w:ascii="Bookman Old Style" w:hAnsi="Bookman Old Style"/>
          <w:b/>
          <w:sz w:val="32"/>
          <w:u w:val="single"/>
        </w:rPr>
      </w:pPr>
      <w:r>
        <w:rPr>
          <w:noProof/>
        </w:rPr>
        <w:drawing>
          <wp:anchor distT="0" distB="0" distL="114300" distR="114300" simplePos="0" relativeHeight="251660288" behindDoc="0" locked="0" layoutInCell="1" allowOverlap="1" wp14:anchorId="137941E7" wp14:editId="2DE1EDF2">
            <wp:simplePos x="0" y="0"/>
            <wp:positionH relativeFrom="column">
              <wp:posOffset>4867275</wp:posOffset>
            </wp:positionH>
            <wp:positionV relativeFrom="paragraph">
              <wp:posOffset>-542925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r w:rsidRPr="00EC7A3D">
        <w:rPr>
          <w:rFonts w:ascii="Bookman Old Style" w:hAnsi="Bookman Old Style"/>
          <w:b/>
          <w:sz w:val="32"/>
          <w:u w:val="single"/>
        </w:rPr>
        <w:t xml:space="preserve"> </w:t>
      </w:r>
      <w:r>
        <w:rPr>
          <w:rFonts w:ascii="Bookman Old Style" w:hAnsi="Bookman Old Style"/>
          <w:b/>
          <w:sz w:val="32"/>
          <w:u w:val="single"/>
        </w:rPr>
        <w:t xml:space="preserve">Think Cultural Health </w:t>
      </w:r>
      <w:r w:rsidRPr="00EC7A3D">
        <w:rPr>
          <w:rFonts w:ascii="Bookman Old Style" w:hAnsi="Bookman Old Style"/>
          <w:b/>
          <w:sz w:val="32"/>
          <w:u w:val="single"/>
        </w:rPr>
        <w:t>Information Sheet</w:t>
      </w:r>
    </w:p>
    <w:p w14:paraId="1AA3DC6D" w14:textId="77777777" w:rsidR="00F13A97" w:rsidRPr="00EC7A3D" w:rsidRDefault="00F13A97" w:rsidP="00F13A97">
      <w:pPr>
        <w:rPr>
          <w:rFonts w:ascii="Bookman Old Style" w:hAnsi="Bookman Old Style"/>
          <w:b/>
        </w:rPr>
      </w:pPr>
      <w:r w:rsidRPr="00EC7A3D">
        <w:rPr>
          <w:rFonts w:ascii="Bookman Old Style" w:hAnsi="Bookman Old Style"/>
          <w:b/>
        </w:rPr>
        <w:t>Description:</w:t>
      </w:r>
    </w:p>
    <w:p w14:paraId="1B4C0CFA" w14:textId="77777777" w:rsidR="00F13A97" w:rsidRPr="00F13A97" w:rsidRDefault="00F13A97" w:rsidP="00F13A97">
      <w:pPr>
        <w:rPr>
          <w:rFonts w:ascii="Century Gothic" w:hAnsi="Century Gothic"/>
        </w:rPr>
      </w:pPr>
      <w:r w:rsidRPr="00F13A97">
        <w:rPr>
          <w:rFonts w:ascii="Century Gothic" w:hAnsi="Century Gothic"/>
        </w:rPr>
        <w:t xml:space="preserve">Launched in 2004 and sponsored by the Office of Minority Health, Think Cultural Health is a website created to provide resources and continuing education opportunities for health professionals and healthcare organizations to advance health equity, improve healthcare quality, and eliminate healthcare disparities. Think Cultural Health details Culturally and Linguistically Appropriate Services (CLAS) in maternal health care in a 4-module program to support maternal health care providers in advancing health equity, improving quality, and reducing disparities. It is one of the 2 equity and bias trainings recommended by ILPQC for hospital teams to meet </w:t>
      </w:r>
      <w:commentRangeStart w:id="0"/>
      <w:r w:rsidRPr="00F13A97">
        <w:rPr>
          <w:rFonts w:ascii="Century Gothic" w:hAnsi="Century Gothic"/>
        </w:rPr>
        <w:t>Birth Equity Driver 4 strategies.</w:t>
      </w:r>
      <w:commentRangeEnd w:id="0"/>
      <w:r w:rsidRPr="00F13A97">
        <w:rPr>
          <w:rFonts w:ascii="Century Gothic" w:hAnsi="Century Gothic"/>
        </w:rPr>
        <w:commentReference w:id="0"/>
      </w:r>
    </w:p>
    <w:p w14:paraId="4F9AA252" w14:textId="77777777" w:rsidR="00F13A97" w:rsidRPr="00EC7A3D" w:rsidRDefault="00F13A97" w:rsidP="00F13A97">
      <w:pPr>
        <w:rPr>
          <w:rFonts w:ascii="Bookman Old Style" w:hAnsi="Bookman Old Style"/>
        </w:rPr>
      </w:pPr>
    </w:p>
    <w:p w14:paraId="7A51F2E9" w14:textId="77777777" w:rsidR="00F13A97" w:rsidRPr="00EC7A3D" w:rsidRDefault="00F13A97" w:rsidP="00F13A97">
      <w:pPr>
        <w:rPr>
          <w:rFonts w:ascii="Bookman Old Style" w:hAnsi="Bookman Old Style"/>
          <w:b/>
        </w:rPr>
      </w:pPr>
      <w:r w:rsidRPr="00EC7A3D">
        <w:rPr>
          <w:rFonts w:ascii="Bookman Old Style" w:hAnsi="Bookman Old Style"/>
          <w:b/>
        </w:rPr>
        <w:t>Education Content available:</w:t>
      </w:r>
    </w:p>
    <w:p w14:paraId="34E0CDA8" w14:textId="77777777" w:rsidR="00F13A97" w:rsidRPr="00F13A97" w:rsidRDefault="00F13A97" w:rsidP="00F13A97">
      <w:pPr>
        <w:rPr>
          <w:rFonts w:ascii="Century Gothic" w:hAnsi="Century Gothic"/>
        </w:rPr>
      </w:pPr>
      <w:r w:rsidRPr="00F13A97">
        <w:rPr>
          <w:rFonts w:ascii="Century Gothic" w:hAnsi="Century Gothic"/>
        </w:rPr>
        <w:t xml:space="preserve">Program Contents: Introduction, Pretest, 4 modules, Posttest, &amp; Course Evaluation. Each module incorporates self-reflective questions, “tell me more” options, case study, quiz, and next steps with a list of related resources. Glossary, Reference List, and Resource Library are also available. </w:t>
      </w:r>
    </w:p>
    <w:p w14:paraId="2F3E66FF" w14:textId="77777777" w:rsidR="00F13A97" w:rsidRPr="00F13A97" w:rsidRDefault="00F13A97" w:rsidP="00F13A97">
      <w:pPr>
        <w:rPr>
          <w:rFonts w:ascii="Century Gothic" w:hAnsi="Century Gothic"/>
        </w:rPr>
      </w:pPr>
      <w:r w:rsidRPr="00F13A97">
        <w:rPr>
          <w:rFonts w:ascii="Century Gothic" w:hAnsi="Century Gothic"/>
        </w:rPr>
        <w:t xml:space="preserve">Module 1, </w:t>
      </w:r>
      <w:proofErr w:type="gramStart"/>
      <w:r w:rsidRPr="00F13A97">
        <w:rPr>
          <w:rFonts w:ascii="Century Gothic" w:hAnsi="Century Gothic"/>
          <w:b/>
        </w:rPr>
        <w:t>An</w:t>
      </w:r>
      <w:proofErr w:type="gramEnd"/>
      <w:r w:rsidRPr="00F13A97">
        <w:rPr>
          <w:rFonts w:ascii="Century Gothic" w:hAnsi="Century Gothic"/>
          <w:b/>
        </w:rPr>
        <w:t xml:space="preserve"> introduction to CLAS in maternal health care</w:t>
      </w:r>
      <w:r w:rsidRPr="00F13A97">
        <w:rPr>
          <w:rFonts w:ascii="Century Gothic" w:hAnsi="Century Gothic"/>
        </w:rPr>
        <w:t>, examines the role of CLAS in improving quality and eliminating disparities in maternal health care. This module focuses on the following concepts:</w:t>
      </w:r>
    </w:p>
    <w:p w14:paraId="08020AA0" w14:textId="77777777" w:rsidR="00F13A97" w:rsidRPr="00F13A97" w:rsidRDefault="00F13A97" w:rsidP="00F13A97">
      <w:pPr>
        <w:numPr>
          <w:ilvl w:val="0"/>
          <w:numId w:val="3"/>
        </w:numPr>
        <w:spacing w:after="0" w:line="240" w:lineRule="auto"/>
        <w:rPr>
          <w:rFonts w:ascii="Century Gothic" w:hAnsi="Century Gothic"/>
        </w:rPr>
      </w:pPr>
      <w:r w:rsidRPr="00F13A97">
        <w:rPr>
          <w:rFonts w:ascii="Century Gothic" w:hAnsi="Century Gothic"/>
        </w:rPr>
        <w:t>CLAS and healthcare quality</w:t>
      </w:r>
    </w:p>
    <w:p w14:paraId="515E4243" w14:textId="77777777" w:rsidR="00F13A97" w:rsidRPr="00F13A97" w:rsidRDefault="00F13A97" w:rsidP="00F13A97">
      <w:pPr>
        <w:numPr>
          <w:ilvl w:val="0"/>
          <w:numId w:val="3"/>
        </w:numPr>
        <w:spacing w:after="0" w:line="240" w:lineRule="auto"/>
        <w:rPr>
          <w:rFonts w:ascii="Century Gothic" w:hAnsi="Century Gothic"/>
        </w:rPr>
      </w:pPr>
      <w:r w:rsidRPr="00F13A97">
        <w:rPr>
          <w:rFonts w:ascii="Century Gothic" w:hAnsi="Century Gothic"/>
        </w:rPr>
        <w:t>Cultural competency and cultural humility</w:t>
      </w:r>
    </w:p>
    <w:p w14:paraId="2820EFA4" w14:textId="77777777" w:rsidR="00F13A97" w:rsidRPr="00F13A97" w:rsidRDefault="00F13A97" w:rsidP="00F13A97">
      <w:pPr>
        <w:numPr>
          <w:ilvl w:val="0"/>
          <w:numId w:val="3"/>
        </w:numPr>
        <w:spacing w:after="0" w:line="240" w:lineRule="auto"/>
        <w:rPr>
          <w:rFonts w:ascii="Century Gothic" w:hAnsi="Century Gothic"/>
        </w:rPr>
      </w:pPr>
      <w:r w:rsidRPr="00F13A97">
        <w:rPr>
          <w:rFonts w:ascii="Century Gothic" w:hAnsi="Century Gothic"/>
        </w:rPr>
        <w:t>Racism and maternal health</w:t>
      </w:r>
    </w:p>
    <w:p w14:paraId="12961E41" w14:textId="77777777" w:rsidR="00F13A97" w:rsidRPr="00F13A97" w:rsidRDefault="00F13A97" w:rsidP="00F13A97">
      <w:pPr>
        <w:numPr>
          <w:ilvl w:val="1"/>
          <w:numId w:val="3"/>
        </w:numPr>
        <w:spacing w:after="0" w:line="240" w:lineRule="auto"/>
        <w:rPr>
          <w:rFonts w:ascii="Century Gothic" w:hAnsi="Century Gothic"/>
        </w:rPr>
      </w:pPr>
      <w:r w:rsidRPr="00F13A97">
        <w:rPr>
          <w:rFonts w:ascii="Century Gothic" w:hAnsi="Century Gothic"/>
        </w:rPr>
        <w:t>Maternal health disparities</w:t>
      </w:r>
    </w:p>
    <w:p w14:paraId="24135584" w14:textId="77777777" w:rsidR="00F13A97" w:rsidRPr="00F13A97" w:rsidRDefault="00F13A97" w:rsidP="00F13A97">
      <w:pPr>
        <w:numPr>
          <w:ilvl w:val="1"/>
          <w:numId w:val="3"/>
        </w:numPr>
        <w:spacing w:after="0" w:line="240" w:lineRule="auto"/>
        <w:rPr>
          <w:rFonts w:ascii="Century Gothic" w:hAnsi="Century Gothic"/>
        </w:rPr>
      </w:pPr>
      <w:r w:rsidRPr="00F13A97">
        <w:rPr>
          <w:rFonts w:ascii="Century Gothic" w:hAnsi="Century Gothic"/>
        </w:rPr>
        <w:t>Social Determinants of Health</w:t>
      </w:r>
    </w:p>
    <w:p w14:paraId="14C481BF" w14:textId="77777777" w:rsidR="00F13A97" w:rsidRPr="00F13A97" w:rsidRDefault="00F13A97" w:rsidP="00F13A97">
      <w:pPr>
        <w:numPr>
          <w:ilvl w:val="1"/>
          <w:numId w:val="3"/>
        </w:numPr>
        <w:spacing w:after="0" w:line="240" w:lineRule="auto"/>
        <w:rPr>
          <w:rFonts w:ascii="Century Gothic" w:hAnsi="Century Gothic"/>
        </w:rPr>
      </w:pPr>
      <w:r w:rsidRPr="00F13A97">
        <w:rPr>
          <w:rFonts w:ascii="Century Gothic" w:hAnsi="Century Gothic"/>
        </w:rPr>
        <w:t>Institutionalized racism</w:t>
      </w:r>
    </w:p>
    <w:p w14:paraId="51B2393A" w14:textId="77777777" w:rsidR="00F13A97" w:rsidRDefault="00F13A97" w:rsidP="00F13A97">
      <w:pPr>
        <w:numPr>
          <w:ilvl w:val="1"/>
          <w:numId w:val="3"/>
        </w:numPr>
        <w:spacing w:after="0" w:line="240" w:lineRule="auto"/>
        <w:rPr>
          <w:rFonts w:ascii="Century Gothic" w:hAnsi="Century Gothic"/>
        </w:rPr>
      </w:pPr>
      <w:r w:rsidRPr="00F13A97">
        <w:rPr>
          <w:rFonts w:ascii="Century Gothic" w:hAnsi="Century Gothic"/>
        </w:rPr>
        <w:t>Weathering</w:t>
      </w:r>
    </w:p>
    <w:p w14:paraId="3D4A52CB" w14:textId="77777777" w:rsidR="00F13A97" w:rsidRPr="00F13A97" w:rsidRDefault="00F13A97" w:rsidP="00F13A97">
      <w:pPr>
        <w:spacing w:after="0" w:line="240" w:lineRule="auto"/>
        <w:ind w:left="720"/>
        <w:rPr>
          <w:rFonts w:ascii="Century Gothic" w:hAnsi="Century Gothic"/>
        </w:rPr>
      </w:pPr>
    </w:p>
    <w:p w14:paraId="6756FEB9" w14:textId="77777777" w:rsidR="00F13A97" w:rsidRPr="00F13A97" w:rsidRDefault="00F13A97" w:rsidP="00F13A97">
      <w:pPr>
        <w:rPr>
          <w:rFonts w:ascii="Century Gothic" w:hAnsi="Century Gothic"/>
        </w:rPr>
      </w:pPr>
      <w:r w:rsidRPr="00F13A97">
        <w:rPr>
          <w:rFonts w:ascii="Century Gothic" w:hAnsi="Century Gothic"/>
        </w:rPr>
        <w:t xml:space="preserve">Module 2, </w:t>
      </w:r>
      <w:r w:rsidRPr="00F13A97">
        <w:rPr>
          <w:rFonts w:ascii="Century Gothic" w:hAnsi="Century Gothic"/>
          <w:b/>
        </w:rPr>
        <w:t>Self-awareness</w:t>
      </w:r>
      <w:r w:rsidRPr="00F13A97">
        <w:rPr>
          <w:rFonts w:ascii="Century Gothic" w:hAnsi="Century Gothic"/>
        </w:rPr>
        <w:t>, helps participants become more aware of their beliefs and values, as well as their privilege, power, bias, and stereotypes. The following concepts are highlighted:</w:t>
      </w:r>
    </w:p>
    <w:p w14:paraId="0F76FC44" w14:textId="77777777" w:rsidR="00F13A97" w:rsidRPr="00F13A97" w:rsidRDefault="00F13A97" w:rsidP="00F13A97">
      <w:pPr>
        <w:numPr>
          <w:ilvl w:val="0"/>
          <w:numId w:val="4"/>
        </w:numPr>
        <w:spacing w:after="0" w:line="240" w:lineRule="auto"/>
        <w:rPr>
          <w:rFonts w:ascii="Century Gothic" w:hAnsi="Century Gothic"/>
        </w:rPr>
      </w:pPr>
      <w:r w:rsidRPr="00F13A97">
        <w:rPr>
          <w:rFonts w:ascii="Century Gothic" w:hAnsi="Century Gothic"/>
        </w:rPr>
        <w:t>Social &amp; cultural identity</w:t>
      </w:r>
    </w:p>
    <w:p w14:paraId="62B8763F" w14:textId="77777777" w:rsidR="00F13A97" w:rsidRPr="00F13A97" w:rsidRDefault="00F13A97" w:rsidP="00F13A97">
      <w:pPr>
        <w:numPr>
          <w:ilvl w:val="1"/>
          <w:numId w:val="4"/>
        </w:numPr>
        <w:spacing w:after="0" w:line="240" w:lineRule="auto"/>
        <w:rPr>
          <w:rFonts w:ascii="Century Gothic" w:hAnsi="Century Gothic"/>
        </w:rPr>
      </w:pPr>
      <w:r w:rsidRPr="00F13A97">
        <w:rPr>
          <w:rFonts w:ascii="Century Gothic" w:hAnsi="Century Gothic"/>
        </w:rPr>
        <w:t>Dominant/non-dominant social groups</w:t>
      </w:r>
    </w:p>
    <w:p w14:paraId="599D3BE8" w14:textId="77777777" w:rsidR="00F13A97" w:rsidRPr="00F13A97" w:rsidRDefault="00F13A97" w:rsidP="00F13A97">
      <w:pPr>
        <w:numPr>
          <w:ilvl w:val="1"/>
          <w:numId w:val="4"/>
        </w:numPr>
        <w:spacing w:after="0" w:line="240" w:lineRule="auto"/>
        <w:rPr>
          <w:rFonts w:ascii="Century Gothic" w:hAnsi="Century Gothic"/>
        </w:rPr>
      </w:pPr>
      <w:r w:rsidRPr="00F13A97">
        <w:rPr>
          <w:rFonts w:ascii="Century Gothic" w:hAnsi="Century Gothic"/>
        </w:rPr>
        <w:t>Privilege</w:t>
      </w:r>
    </w:p>
    <w:p w14:paraId="00101824" w14:textId="77777777" w:rsidR="00F13A97" w:rsidRPr="00F13A97" w:rsidRDefault="00F13A97" w:rsidP="00F13A97">
      <w:pPr>
        <w:numPr>
          <w:ilvl w:val="1"/>
          <w:numId w:val="4"/>
        </w:numPr>
        <w:spacing w:after="0" w:line="240" w:lineRule="auto"/>
        <w:rPr>
          <w:rFonts w:ascii="Century Gothic" w:hAnsi="Century Gothic"/>
        </w:rPr>
      </w:pPr>
      <w:r w:rsidRPr="00F13A97">
        <w:rPr>
          <w:rFonts w:ascii="Century Gothic" w:hAnsi="Century Gothic"/>
        </w:rPr>
        <w:t>Power</w:t>
      </w:r>
    </w:p>
    <w:p w14:paraId="047ABCED" w14:textId="77777777" w:rsidR="00F13A97" w:rsidRPr="00F13A97" w:rsidRDefault="00F13A97" w:rsidP="00F13A97">
      <w:pPr>
        <w:numPr>
          <w:ilvl w:val="0"/>
          <w:numId w:val="4"/>
        </w:numPr>
        <w:spacing w:after="0" w:line="240" w:lineRule="auto"/>
        <w:rPr>
          <w:rFonts w:ascii="Century Gothic" w:hAnsi="Century Gothic"/>
        </w:rPr>
      </w:pPr>
      <w:r w:rsidRPr="00F13A97">
        <w:rPr>
          <w:rFonts w:ascii="Century Gothic" w:hAnsi="Century Gothic"/>
        </w:rPr>
        <w:t>Implicit bias and stereotyping</w:t>
      </w:r>
    </w:p>
    <w:p w14:paraId="73AE8B24" w14:textId="77777777" w:rsidR="00F13A97" w:rsidRPr="00F13A97" w:rsidRDefault="00F13A97" w:rsidP="00F13A97">
      <w:pPr>
        <w:numPr>
          <w:ilvl w:val="1"/>
          <w:numId w:val="4"/>
        </w:numPr>
        <w:spacing w:after="0" w:line="240" w:lineRule="auto"/>
        <w:rPr>
          <w:rFonts w:ascii="Century Gothic" w:hAnsi="Century Gothic"/>
        </w:rPr>
      </w:pPr>
      <w:r w:rsidRPr="00F13A97">
        <w:rPr>
          <w:rFonts w:ascii="Century Gothic" w:hAnsi="Century Gothic"/>
        </w:rPr>
        <w:t>Impact on clinical encounters</w:t>
      </w:r>
    </w:p>
    <w:p w14:paraId="0A1CD0AC" w14:textId="77777777" w:rsidR="00F13A97" w:rsidRPr="00F13A97" w:rsidRDefault="00F13A97" w:rsidP="00F13A97">
      <w:pPr>
        <w:numPr>
          <w:ilvl w:val="1"/>
          <w:numId w:val="4"/>
        </w:numPr>
        <w:spacing w:after="0" w:line="240" w:lineRule="auto"/>
        <w:rPr>
          <w:rFonts w:ascii="Century Gothic" w:hAnsi="Century Gothic"/>
        </w:rPr>
      </w:pPr>
      <w:r w:rsidRPr="00F13A97">
        <w:rPr>
          <w:rFonts w:ascii="Century Gothic" w:hAnsi="Century Gothic"/>
        </w:rPr>
        <w:t>Awareness</w:t>
      </w:r>
    </w:p>
    <w:p w14:paraId="0E7E09D0" w14:textId="77777777" w:rsidR="00F13A97" w:rsidRDefault="00F13A97" w:rsidP="00F13A97">
      <w:pPr>
        <w:numPr>
          <w:ilvl w:val="1"/>
          <w:numId w:val="4"/>
        </w:numPr>
        <w:spacing w:after="0" w:line="240" w:lineRule="auto"/>
        <w:rPr>
          <w:rFonts w:ascii="Century Gothic" w:hAnsi="Century Gothic"/>
        </w:rPr>
      </w:pPr>
      <w:r w:rsidRPr="00F13A97">
        <w:rPr>
          <w:rFonts w:ascii="Century Gothic" w:hAnsi="Century Gothic"/>
        </w:rPr>
        <w:t>Strategies to address biases and stereotypes</w:t>
      </w:r>
    </w:p>
    <w:p w14:paraId="144B344D" w14:textId="77777777" w:rsidR="00F13A97" w:rsidRPr="00F13A97" w:rsidRDefault="00F13A97" w:rsidP="00F13A97">
      <w:pPr>
        <w:spacing w:after="0" w:line="240" w:lineRule="auto"/>
        <w:ind w:left="720"/>
        <w:rPr>
          <w:rFonts w:ascii="Century Gothic" w:hAnsi="Century Gothic"/>
        </w:rPr>
      </w:pPr>
    </w:p>
    <w:p w14:paraId="2422293E" w14:textId="77777777" w:rsidR="00F13A97" w:rsidRPr="00F13A97" w:rsidRDefault="00F13A97" w:rsidP="00F13A97">
      <w:pPr>
        <w:rPr>
          <w:rFonts w:ascii="Century Gothic" w:hAnsi="Century Gothic"/>
        </w:rPr>
      </w:pPr>
      <w:r w:rsidRPr="00F13A97">
        <w:rPr>
          <w:rFonts w:ascii="Century Gothic" w:hAnsi="Century Gothic"/>
        </w:rPr>
        <w:t xml:space="preserve">Module 3, </w:t>
      </w:r>
      <w:r w:rsidRPr="00F13A97">
        <w:rPr>
          <w:rFonts w:ascii="Century Gothic" w:hAnsi="Century Gothic"/>
          <w:b/>
        </w:rPr>
        <w:t>Awareness of a patient’s cultural identity</w:t>
      </w:r>
      <w:r w:rsidRPr="00F13A97">
        <w:rPr>
          <w:rFonts w:ascii="Century Gothic" w:hAnsi="Century Gothic"/>
        </w:rPr>
        <w:t>, presents the how and why of getting to know a patient’s cultural identity. Concepts highlighted include:</w:t>
      </w:r>
    </w:p>
    <w:p w14:paraId="4D94FD00" w14:textId="77777777" w:rsidR="00F13A97" w:rsidRPr="00F13A97" w:rsidRDefault="00F13A97" w:rsidP="00F13A97">
      <w:pPr>
        <w:numPr>
          <w:ilvl w:val="0"/>
          <w:numId w:val="5"/>
        </w:numPr>
        <w:spacing w:after="0" w:line="240" w:lineRule="auto"/>
        <w:rPr>
          <w:rFonts w:ascii="Century Gothic" w:hAnsi="Century Gothic"/>
        </w:rPr>
      </w:pPr>
      <w:r w:rsidRPr="00F13A97">
        <w:rPr>
          <w:rFonts w:ascii="Century Gothic" w:hAnsi="Century Gothic"/>
        </w:rPr>
        <w:lastRenderedPageBreak/>
        <w:t>Strategy of individuation</w:t>
      </w:r>
    </w:p>
    <w:p w14:paraId="67BABBCB" w14:textId="77777777" w:rsidR="00F13A97" w:rsidRPr="00F13A97" w:rsidRDefault="00F13A97" w:rsidP="00F13A97">
      <w:pPr>
        <w:numPr>
          <w:ilvl w:val="0"/>
          <w:numId w:val="5"/>
        </w:numPr>
        <w:spacing w:after="0" w:line="240" w:lineRule="auto"/>
        <w:rPr>
          <w:rFonts w:ascii="Century Gothic" w:hAnsi="Century Gothic"/>
        </w:rPr>
      </w:pPr>
      <w:proofErr w:type="spellStart"/>
      <w:r w:rsidRPr="00F13A97">
        <w:rPr>
          <w:rFonts w:ascii="Century Gothic" w:hAnsi="Century Gothic"/>
        </w:rPr>
        <w:t>Intersectionality</w:t>
      </w:r>
      <w:proofErr w:type="spellEnd"/>
    </w:p>
    <w:p w14:paraId="01C34FF0" w14:textId="77777777" w:rsidR="00F13A97" w:rsidRPr="00F13A97" w:rsidRDefault="00F13A97" w:rsidP="00F13A97">
      <w:pPr>
        <w:numPr>
          <w:ilvl w:val="0"/>
          <w:numId w:val="5"/>
        </w:numPr>
        <w:spacing w:after="0" w:line="240" w:lineRule="auto"/>
        <w:rPr>
          <w:rFonts w:ascii="Century Gothic" w:hAnsi="Century Gothic"/>
        </w:rPr>
      </w:pPr>
      <w:proofErr w:type="spellStart"/>
      <w:r w:rsidRPr="00F13A97">
        <w:rPr>
          <w:rFonts w:ascii="Century Gothic" w:hAnsi="Century Gothic"/>
        </w:rPr>
        <w:t>Microaggressions</w:t>
      </w:r>
      <w:proofErr w:type="spellEnd"/>
    </w:p>
    <w:p w14:paraId="3CDE60F6" w14:textId="77777777" w:rsidR="00F13A97" w:rsidRPr="00F13A97" w:rsidRDefault="00F13A97" w:rsidP="00F13A97">
      <w:pPr>
        <w:numPr>
          <w:ilvl w:val="0"/>
          <w:numId w:val="5"/>
        </w:numPr>
        <w:spacing w:after="0" w:line="240" w:lineRule="auto"/>
        <w:rPr>
          <w:rFonts w:ascii="Century Gothic" w:hAnsi="Century Gothic"/>
        </w:rPr>
      </w:pPr>
      <w:r w:rsidRPr="00F13A97">
        <w:rPr>
          <w:rFonts w:ascii="Century Gothic" w:hAnsi="Century Gothic"/>
        </w:rPr>
        <w:t xml:space="preserve">Perceived racial discrimination </w:t>
      </w:r>
    </w:p>
    <w:p w14:paraId="3A3A8EBE" w14:textId="77777777" w:rsidR="00F13A97" w:rsidRPr="00F13A97" w:rsidRDefault="00F13A97" w:rsidP="00F13A97">
      <w:pPr>
        <w:numPr>
          <w:ilvl w:val="0"/>
          <w:numId w:val="5"/>
        </w:numPr>
        <w:spacing w:after="0" w:line="240" w:lineRule="auto"/>
        <w:rPr>
          <w:rFonts w:ascii="Century Gothic" w:hAnsi="Century Gothic"/>
        </w:rPr>
      </w:pPr>
      <w:r w:rsidRPr="00F13A97">
        <w:rPr>
          <w:rFonts w:ascii="Century Gothic" w:hAnsi="Century Gothic"/>
        </w:rPr>
        <w:t>History of racism</w:t>
      </w:r>
    </w:p>
    <w:p w14:paraId="7382E38A" w14:textId="77777777" w:rsidR="00F13A97" w:rsidRDefault="00F13A97" w:rsidP="00F13A97">
      <w:pPr>
        <w:numPr>
          <w:ilvl w:val="0"/>
          <w:numId w:val="5"/>
        </w:numPr>
        <w:spacing w:after="0" w:line="240" w:lineRule="auto"/>
        <w:rPr>
          <w:rFonts w:ascii="Century Gothic" w:hAnsi="Century Gothic"/>
        </w:rPr>
      </w:pPr>
      <w:r w:rsidRPr="00F13A97">
        <w:rPr>
          <w:rFonts w:ascii="Century Gothic" w:hAnsi="Century Gothic"/>
        </w:rPr>
        <w:t>Cultural humility</w:t>
      </w:r>
    </w:p>
    <w:p w14:paraId="7F602123" w14:textId="77777777" w:rsidR="00F13A97" w:rsidRPr="00F13A97" w:rsidRDefault="00F13A97" w:rsidP="00F13A97">
      <w:pPr>
        <w:spacing w:after="0" w:line="240" w:lineRule="auto"/>
        <w:rPr>
          <w:rFonts w:ascii="Century Gothic" w:hAnsi="Century Gothic"/>
        </w:rPr>
      </w:pPr>
    </w:p>
    <w:p w14:paraId="25E42D3C" w14:textId="77777777" w:rsidR="00F13A97" w:rsidRPr="00F13A97" w:rsidRDefault="00F13A97" w:rsidP="00F13A97">
      <w:pPr>
        <w:rPr>
          <w:rFonts w:ascii="Century Gothic" w:hAnsi="Century Gothic"/>
        </w:rPr>
      </w:pPr>
      <w:r w:rsidRPr="00F13A97">
        <w:rPr>
          <w:rFonts w:ascii="Century Gothic" w:hAnsi="Century Gothic"/>
        </w:rPr>
        <w:t xml:space="preserve">Module 4, </w:t>
      </w:r>
      <w:r w:rsidRPr="00F13A97">
        <w:rPr>
          <w:rFonts w:ascii="Century Gothic" w:hAnsi="Century Gothic"/>
          <w:b/>
        </w:rPr>
        <w:t>Providing CLAS in maternal health care</w:t>
      </w:r>
      <w:r w:rsidRPr="00F13A97">
        <w:rPr>
          <w:rFonts w:ascii="Century Gothic" w:hAnsi="Century Gothic"/>
        </w:rPr>
        <w:t>, explores ways to deliver respectful, compassionate, high quality care that responds to patients’ experiences, values, beliefs, and preferences. This module focuses on the following concepts:</w:t>
      </w:r>
    </w:p>
    <w:p w14:paraId="3DA81177" w14:textId="77777777" w:rsidR="00F13A97" w:rsidRPr="00F13A97" w:rsidRDefault="00F13A97" w:rsidP="00F13A97">
      <w:pPr>
        <w:numPr>
          <w:ilvl w:val="0"/>
          <w:numId w:val="6"/>
        </w:numPr>
        <w:spacing w:after="0" w:line="240" w:lineRule="auto"/>
        <w:rPr>
          <w:rFonts w:ascii="Century Gothic" w:hAnsi="Century Gothic"/>
        </w:rPr>
      </w:pPr>
      <w:r w:rsidRPr="00F13A97">
        <w:rPr>
          <w:rFonts w:ascii="Century Gothic" w:hAnsi="Century Gothic"/>
        </w:rPr>
        <w:t>Review of cultural competency and cultural humility</w:t>
      </w:r>
    </w:p>
    <w:p w14:paraId="73B2E4AF" w14:textId="77777777" w:rsidR="00F13A97" w:rsidRPr="00F13A97" w:rsidRDefault="00F13A97" w:rsidP="00F13A97">
      <w:pPr>
        <w:numPr>
          <w:ilvl w:val="0"/>
          <w:numId w:val="6"/>
        </w:numPr>
        <w:spacing w:after="0" w:line="240" w:lineRule="auto"/>
        <w:rPr>
          <w:rFonts w:ascii="Century Gothic" w:hAnsi="Century Gothic"/>
        </w:rPr>
      </w:pPr>
      <w:r w:rsidRPr="00F13A97">
        <w:rPr>
          <w:rFonts w:ascii="Century Gothic" w:hAnsi="Century Gothic"/>
        </w:rPr>
        <w:t>Person-centered care strategies</w:t>
      </w:r>
    </w:p>
    <w:p w14:paraId="30FC0157" w14:textId="77777777" w:rsidR="00F13A97" w:rsidRPr="00F13A97" w:rsidRDefault="00F13A97" w:rsidP="00F13A97">
      <w:pPr>
        <w:numPr>
          <w:ilvl w:val="1"/>
          <w:numId w:val="6"/>
        </w:numPr>
        <w:spacing w:after="0" w:line="240" w:lineRule="auto"/>
        <w:rPr>
          <w:rFonts w:ascii="Century Gothic" w:hAnsi="Century Gothic"/>
        </w:rPr>
      </w:pPr>
      <w:r w:rsidRPr="00F13A97">
        <w:rPr>
          <w:rFonts w:ascii="Century Gothic" w:hAnsi="Century Gothic"/>
        </w:rPr>
        <w:t>Effective communication strategies</w:t>
      </w:r>
    </w:p>
    <w:p w14:paraId="4ECC3282" w14:textId="77777777" w:rsidR="00F13A97" w:rsidRPr="00F13A97" w:rsidRDefault="00F13A97" w:rsidP="00F13A97">
      <w:pPr>
        <w:numPr>
          <w:ilvl w:val="1"/>
          <w:numId w:val="6"/>
        </w:numPr>
        <w:spacing w:after="0" w:line="240" w:lineRule="auto"/>
        <w:rPr>
          <w:rFonts w:ascii="Century Gothic" w:hAnsi="Century Gothic"/>
        </w:rPr>
      </w:pPr>
      <w:r w:rsidRPr="00F13A97">
        <w:rPr>
          <w:rFonts w:ascii="Century Gothic" w:hAnsi="Century Gothic"/>
        </w:rPr>
        <w:t>Partnership building</w:t>
      </w:r>
    </w:p>
    <w:p w14:paraId="0ABA7F25" w14:textId="77777777" w:rsidR="00F13A97" w:rsidRDefault="00F13A97" w:rsidP="00F13A97">
      <w:pPr>
        <w:pStyle w:val="ListParagraph"/>
        <w:numPr>
          <w:ilvl w:val="1"/>
          <w:numId w:val="6"/>
        </w:numPr>
        <w:spacing w:after="0" w:line="240" w:lineRule="auto"/>
        <w:rPr>
          <w:rFonts w:ascii="Century Gothic" w:hAnsi="Century Gothic"/>
        </w:rPr>
      </w:pPr>
      <w:r w:rsidRPr="00F13A97">
        <w:rPr>
          <w:rFonts w:ascii="Century Gothic" w:hAnsi="Century Gothic"/>
        </w:rPr>
        <w:t>Sha</w:t>
      </w:r>
      <w:r w:rsidRPr="00F13A97">
        <w:rPr>
          <w:rFonts w:ascii="Century Gothic" w:hAnsi="Century Gothic"/>
        </w:rPr>
        <w:t>r</w:t>
      </w:r>
      <w:r w:rsidRPr="00F13A97">
        <w:rPr>
          <w:rFonts w:ascii="Century Gothic" w:hAnsi="Century Gothic"/>
        </w:rPr>
        <w:t>ed decision-making</w:t>
      </w:r>
    </w:p>
    <w:p w14:paraId="2FAC60B8" w14:textId="77777777" w:rsidR="00D2063B" w:rsidRPr="00D2063B" w:rsidRDefault="00D2063B" w:rsidP="00D2063B">
      <w:pPr>
        <w:spacing w:after="0" w:line="240" w:lineRule="auto"/>
        <w:ind w:left="1080"/>
        <w:rPr>
          <w:rFonts w:ascii="Century Gothic" w:hAnsi="Century Gothic"/>
        </w:rPr>
      </w:pPr>
    </w:p>
    <w:p w14:paraId="0307481E" w14:textId="77777777" w:rsidR="00F13A97" w:rsidRPr="00EC7A3D" w:rsidRDefault="00F13A97" w:rsidP="00F13A97">
      <w:pPr>
        <w:rPr>
          <w:rFonts w:ascii="Bookman Old Style" w:hAnsi="Bookman Old Style"/>
          <w:b/>
        </w:rPr>
      </w:pPr>
      <w:r w:rsidRPr="00EC7A3D">
        <w:rPr>
          <w:rFonts w:ascii="Bookman Old Style" w:hAnsi="Bookman Old Style"/>
          <w:b/>
        </w:rPr>
        <w:t>Access Information:</w:t>
      </w:r>
    </w:p>
    <w:p w14:paraId="49664F22" w14:textId="77777777" w:rsidR="00F13A97" w:rsidRPr="00F13A97" w:rsidRDefault="00F13A97" w:rsidP="00F13A97">
      <w:pPr>
        <w:rPr>
          <w:rFonts w:ascii="Century Gothic" w:hAnsi="Century Gothic"/>
        </w:rPr>
      </w:pPr>
      <w:r w:rsidRPr="00F13A97">
        <w:rPr>
          <w:rFonts w:ascii="Century Gothic" w:hAnsi="Century Gothic"/>
        </w:rPr>
        <w:t xml:space="preserve">Login or register at the Think Cultural Health </w:t>
      </w:r>
      <w:hyperlink r:id="rId8">
        <w:r w:rsidRPr="00F13A97">
          <w:rPr>
            <w:rStyle w:val="Hyperlink"/>
            <w:rFonts w:ascii="Century Gothic" w:hAnsi="Century Gothic"/>
          </w:rPr>
          <w:t>website</w:t>
        </w:r>
      </w:hyperlink>
      <w:r w:rsidRPr="00F13A97">
        <w:rPr>
          <w:rFonts w:ascii="Century Gothic" w:hAnsi="Century Gothic"/>
        </w:rPr>
        <w:t xml:space="preserve"> </w:t>
      </w:r>
    </w:p>
    <w:p w14:paraId="74F6B9F2" w14:textId="77777777" w:rsidR="00F13A97" w:rsidRDefault="00F13A97" w:rsidP="00F13A97">
      <w:pPr>
        <w:rPr>
          <w:rFonts w:ascii="Century Gothic" w:hAnsi="Century Gothic"/>
        </w:rPr>
      </w:pPr>
      <w:r w:rsidRPr="00F13A97">
        <w:rPr>
          <w:rFonts w:ascii="Century Gothic" w:hAnsi="Century Gothic"/>
        </w:rPr>
        <w:t>Choose Maternal Health Care Providers - Culturally and Linguistically Appropriate Services (CLAS) in Maternal Health Care program</w:t>
      </w:r>
    </w:p>
    <w:p w14:paraId="38486DA7" w14:textId="77777777" w:rsidR="00F13A97" w:rsidRDefault="00F13A97" w:rsidP="00F13A97">
      <w:pPr>
        <w:rPr>
          <w:rFonts w:ascii="Century Gothic" w:hAnsi="Century Gothic"/>
        </w:rPr>
      </w:pPr>
      <w:r w:rsidRPr="00F13A97">
        <w:rPr>
          <w:rFonts w:ascii="Century Gothic" w:hAnsi="Century Gothic"/>
        </w:rPr>
        <w:t>Login, Read the Overview, Choose appropriate credit information &amp; click Continue</w:t>
      </w:r>
    </w:p>
    <w:p w14:paraId="4DA37982" w14:textId="77777777" w:rsidR="00DF101B" w:rsidRPr="00F13A97" w:rsidRDefault="00F13A97" w:rsidP="00F13A97">
      <w:pPr>
        <w:jc w:val="center"/>
        <w:rPr>
          <w:rFonts w:ascii="Century Gothic" w:hAnsi="Century Gothic"/>
        </w:rPr>
      </w:pPr>
      <w:bookmarkStart w:id="1" w:name="_GoBack"/>
      <w:r w:rsidRPr="002F61B0">
        <w:rPr>
          <w:rFonts w:ascii="Calibri" w:eastAsia="Calibri" w:hAnsi="Calibri" w:cs="Calibri"/>
          <w:noProof/>
        </w:rPr>
        <w:drawing>
          <wp:inline distT="0" distB="0" distL="0" distR="0" wp14:anchorId="4F722B23" wp14:editId="69EDCFD4">
            <wp:extent cx="4770966" cy="1820333"/>
            <wp:effectExtent l="25400" t="25400" r="29845" b="34290"/>
            <wp:docPr id="24" name="image4.png" descr="Macintosh HD:private:var:folders:bw:pjbzw8791dn1n9fsc58vm7vm0000gn:T:TemporaryItems:Screen Shot 2021-03-22 at 4.20.45 PM.png"/>
            <wp:cNvGraphicFramePr/>
            <a:graphic xmlns:a="http://schemas.openxmlformats.org/drawingml/2006/main">
              <a:graphicData uri="http://schemas.openxmlformats.org/drawingml/2006/picture">
                <pic:pic xmlns:pic="http://schemas.openxmlformats.org/drawingml/2006/picture">
                  <pic:nvPicPr>
                    <pic:cNvPr id="0" name="image4.png" descr="Macintosh HD:private:var:folders:bw:pjbzw8791dn1n9fsc58vm7vm0000gn:T:TemporaryItems:Screen Shot 2021-03-22 at 4.20.45 PM.png"/>
                    <pic:cNvPicPr preferRelativeResize="0"/>
                  </pic:nvPicPr>
                  <pic:blipFill>
                    <a:blip r:embed="rId9"/>
                    <a:srcRect/>
                    <a:stretch>
                      <a:fillRect/>
                    </a:stretch>
                  </pic:blipFill>
                  <pic:spPr>
                    <a:xfrm>
                      <a:off x="0" y="0"/>
                      <a:ext cx="4774636" cy="1821733"/>
                    </a:xfrm>
                    <a:prstGeom prst="rect">
                      <a:avLst/>
                    </a:prstGeom>
                    <a:ln>
                      <a:solidFill>
                        <a:schemeClr val="tx1"/>
                      </a:solidFill>
                    </a:ln>
                  </pic:spPr>
                </pic:pic>
              </a:graphicData>
            </a:graphic>
          </wp:inline>
        </w:drawing>
      </w:r>
      <w:bookmarkEnd w:id="1"/>
      <w:r>
        <w:rPr>
          <w:rFonts w:ascii="Century Gothic" w:hAnsi="Century Gothic"/>
          <w:noProof/>
        </w:rPr>
        <mc:AlternateContent>
          <mc:Choice Requires="wps">
            <w:drawing>
              <wp:anchor distT="0" distB="0" distL="114300" distR="114300" simplePos="0" relativeHeight="251659264" behindDoc="0" locked="0" layoutInCell="1" allowOverlap="1" wp14:anchorId="634AEA5B" wp14:editId="4C0D85F1">
                <wp:simplePos x="0" y="0"/>
                <wp:positionH relativeFrom="margin">
                  <wp:posOffset>209550</wp:posOffset>
                </wp:positionH>
                <wp:positionV relativeFrom="margin">
                  <wp:posOffset>6753225</wp:posOffset>
                </wp:positionV>
                <wp:extent cx="5495925" cy="1562100"/>
                <wp:effectExtent l="19050" t="19050" r="28575" b="19050"/>
                <wp:wrapSquare wrapText="bothSides"/>
                <wp:docPr id="1" name="Rounded Rectangle 1"/>
                <wp:cNvGraphicFramePr/>
                <a:graphic xmlns:a="http://schemas.openxmlformats.org/drawingml/2006/main">
                  <a:graphicData uri="http://schemas.microsoft.com/office/word/2010/wordprocessingShape">
                    <wps:wsp>
                      <wps:cNvSpPr/>
                      <wps:spPr>
                        <a:xfrm>
                          <a:off x="0" y="0"/>
                          <a:ext cx="5495925" cy="1562100"/>
                        </a:xfrm>
                        <a:prstGeom prst="roundRect">
                          <a:avLst/>
                        </a:prstGeom>
                        <a:solidFill>
                          <a:schemeClr val="tx2">
                            <a:lumMod val="20000"/>
                            <a:lumOff val="80000"/>
                            <a:alpha val="49804"/>
                          </a:schemeClr>
                        </a:solidFill>
                        <a:ln w="28575">
                          <a:solidFill>
                            <a:srgbClr val="004990"/>
                          </a:solidFill>
                        </a:ln>
                      </wps:spPr>
                      <wps:style>
                        <a:lnRef idx="0">
                          <a:scrgbClr r="0" g="0" b="0"/>
                        </a:lnRef>
                        <a:fillRef idx="0">
                          <a:scrgbClr r="0" g="0" b="0"/>
                        </a:fillRef>
                        <a:effectRef idx="0">
                          <a:scrgbClr r="0" g="0" b="0"/>
                        </a:effectRef>
                        <a:fontRef idx="minor">
                          <a:schemeClr val="lt1"/>
                        </a:fontRef>
                      </wps:style>
                      <wps:txbx>
                        <w:txbxContent>
                          <w:p w14:paraId="775EBB2B" w14:textId="77777777" w:rsidR="00F13A97" w:rsidRPr="009C6715" w:rsidRDefault="00F13A97" w:rsidP="00F13A97">
                            <w:pPr>
                              <w:jc w:val="center"/>
                              <w:rPr>
                                <w:rFonts w:ascii="Bookman Old Style" w:hAnsi="Bookman Old Style"/>
                                <w:color w:val="000000" w:themeColor="text1"/>
                                <w:u w:val="single"/>
                              </w:rPr>
                            </w:pPr>
                            <w:r w:rsidRPr="009C6715">
                              <w:rPr>
                                <w:rFonts w:ascii="Bookman Old Style" w:hAnsi="Bookman Old Style"/>
                                <w:color w:val="000000" w:themeColor="text1"/>
                                <w:u w:val="single"/>
                              </w:rPr>
                              <w:t>Implementation strategies for the QI team</w:t>
                            </w:r>
                          </w:p>
                          <w:p w14:paraId="083F58E2" w14:textId="77777777" w:rsidR="00F13A97" w:rsidRPr="00882AAA" w:rsidRDefault="00F13A97" w:rsidP="00F13A97">
                            <w:pPr>
                              <w:pStyle w:val="ListParagraph"/>
                              <w:numPr>
                                <w:ilvl w:val="0"/>
                                <w:numId w:val="1"/>
                              </w:numPr>
                              <w:rPr>
                                <w:rFonts w:ascii="Century Gothic" w:hAnsi="Century Gothic"/>
                                <w:color w:val="000000" w:themeColor="text1"/>
                              </w:rPr>
                            </w:pPr>
                            <w:r w:rsidRPr="00882AAA">
                              <w:rPr>
                                <w:rFonts w:ascii="Century Gothic" w:hAnsi="Century Gothic"/>
                                <w:color w:val="000000" w:themeColor="text1"/>
                              </w:rPr>
                              <w:t xml:space="preserve">Idea 1 </w:t>
                            </w:r>
                          </w:p>
                          <w:p w14:paraId="01419E1D" w14:textId="77777777" w:rsidR="00F13A97" w:rsidRPr="00882AAA" w:rsidRDefault="00F13A97" w:rsidP="00F13A97">
                            <w:pPr>
                              <w:pStyle w:val="ListParagraph"/>
                              <w:numPr>
                                <w:ilvl w:val="0"/>
                                <w:numId w:val="1"/>
                              </w:numPr>
                              <w:rPr>
                                <w:rFonts w:ascii="Century Gothic" w:hAnsi="Century Gothic"/>
                                <w:color w:val="000000" w:themeColor="text1"/>
                              </w:rPr>
                            </w:pPr>
                            <w:r w:rsidRPr="00882AAA">
                              <w:rPr>
                                <w:rFonts w:ascii="Century Gothic" w:hAnsi="Century Gothic"/>
                                <w:color w:val="000000" w:themeColor="text1"/>
                              </w:rPr>
                              <w:t>Idea 2</w:t>
                            </w:r>
                          </w:p>
                          <w:p w14:paraId="4D5B6100" w14:textId="77777777" w:rsidR="00F13A97" w:rsidRDefault="00F13A97" w:rsidP="00F13A97">
                            <w:pPr>
                              <w:pStyle w:val="ListParagraph"/>
                              <w:numPr>
                                <w:ilvl w:val="0"/>
                                <w:numId w:val="1"/>
                              </w:numPr>
                              <w:rPr>
                                <w:rFonts w:ascii="Century Gothic" w:hAnsi="Century Gothic"/>
                                <w:color w:val="000000" w:themeColor="text1"/>
                              </w:rPr>
                            </w:pPr>
                            <w:r w:rsidRPr="00882AAA">
                              <w:rPr>
                                <w:rFonts w:ascii="Century Gothic" w:hAnsi="Century Gothic"/>
                                <w:color w:val="000000" w:themeColor="text1"/>
                              </w:rPr>
                              <w:t>Idea 3</w:t>
                            </w:r>
                          </w:p>
                          <w:p w14:paraId="45A52C1F" w14:textId="77777777" w:rsidR="00F13A97" w:rsidRPr="009C6715" w:rsidRDefault="00F13A97" w:rsidP="00F13A97">
                            <w:pPr>
                              <w:rPr>
                                <w:rFonts w:ascii="Century Gothic" w:hAnsi="Century Gothic"/>
                                <w:color w:val="000000" w:themeColor="text1"/>
                              </w:rPr>
                            </w:pPr>
                          </w:p>
                          <w:p w14:paraId="6C9A6E83" w14:textId="77777777" w:rsidR="00F13A97" w:rsidRDefault="00F13A97" w:rsidP="00F13A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16.5pt;margin-top:531.75pt;width:432.75pt;height:123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" fillcolor="#c6d9f1 [671]" strokecolor="#004990" strokeweight="2.25pt">
                <v:fill opacity="32639f"/>
                <v:textbox>
                  <w:txbxContent>
                    <w:p w14:paraId="775EBB2B" w14:textId="77777777" w:rsidR="00F13A97" w:rsidRPr="009C6715" w:rsidRDefault="00F13A97" w:rsidP="00F13A97">
                      <w:pPr>
                        <w:jc w:val="center"/>
                        <w:rPr>
                          <w:rFonts w:ascii="Bookman Old Style" w:hAnsi="Bookman Old Style"/>
                          <w:color w:val="000000" w:themeColor="text1"/>
                          <w:u w:val="single"/>
                        </w:rPr>
                      </w:pPr>
                      <w:r w:rsidRPr="009C6715">
                        <w:rPr>
                          <w:rFonts w:ascii="Bookman Old Style" w:hAnsi="Bookman Old Style"/>
                          <w:color w:val="000000" w:themeColor="text1"/>
                          <w:u w:val="single"/>
                        </w:rPr>
                        <w:t>Implementation strategies for the QI team</w:t>
                      </w:r>
                    </w:p>
                    <w:p w14:paraId="083F58E2" w14:textId="77777777" w:rsidR="00F13A97" w:rsidRPr="00882AAA" w:rsidRDefault="00F13A97" w:rsidP="00F13A97">
                      <w:pPr>
                        <w:pStyle w:val="ListParagraph"/>
                        <w:numPr>
                          <w:ilvl w:val="0"/>
                          <w:numId w:val="1"/>
                        </w:numPr>
                        <w:rPr>
                          <w:rFonts w:ascii="Century Gothic" w:hAnsi="Century Gothic"/>
                          <w:color w:val="000000" w:themeColor="text1"/>
                        </w:rPr>
                      </w:pPr>
                      <w:r w:rsidRPr="00882AAA">
                        <w:rPr>
                          <w:rFonts w:ascii="Century Gothic" w:hAnsi="Century Gothic"/>
                          <w:color w:val="000000" w:themeColor="text1"/>
                        </w:rPr>
                        <w:t xml:space="preserve">Idea 1 </w:t>
                      </w:r>
                    </w:p>
                    <w:p w14:paraId="01419E1D" w14:textId="77777777" w:rsidR="00F13A97" w:rsidRPr="00882AAA" w:rsidRDefault="00F13A97" w:rsidP="00F13A97">
                      <w:pPr>
                        <w:pStyle w:val="ListParagraph"/>
                        <w:numPr>
                          <w:ilvl w:val="0"/>
                          <w:numId w:val="1"/>
                        </w:numPr>
                        <w:rPr>
                          <w:rFonts w:ascii="Century Gothic" w:hAnsi="Century Gothic"/>
                          <w:color w:val="000000" w:themeColor="text1"/>
                        </w:rPr>
                      </w:pPr>
                      <w:r w:rsidRPr="00882AAA">
                        <w:rPr>
                          <w:rFonts w:ascii="Century Gothic" w:hAnsi="Century Gothic"/>
                          <w:color w:val="000000" w:themeColor="text1"/>
                        </w:rPr>
                        <w:t>Idea 2</w:t>
                      </w:r>
                    </w:p>
                    <w:p w14:paraId="4D5B6100" w14:textId="77777777" w:rsidR="00F13A97" w:rsidRDefault="00F13A97" w:rsidP="00F13A97">
                      <w:pPr>
                        <w:pStyle w:val="ListParagraph"/>
                        <w:numPr>
                          <w:ilvl w:val="0"/>
                          <w:numId w:val="1"/>
                        </w:numPr>
                        <w:rPr>
                          <w:rFonts w:ascii="Century Gothic" w:hAnsi="Century Gothic"/>
                          <w:color w:val="000000" w:themeColor="text1"/>
                        </w:rPr>
                      </w:pPr>
                      <w:r w:rsidRPr="00882AAA">
                        <w:rPr>
                          <w:rFonts w:ascii="Century Gothic" w:hAnsi="Century Gothic"/>
                          <w:color w:val="000000" w:themeColor="text1"/>
                        </w:rPr>
                        <w:t>Idea 3</w:t>
                      </w:r>
                    </w:p>
                    <w:p w14:paraId="45A52C1F" w14:textId="77777777" w:rsidR="00F13A97" w:rsidRPr="009C6715" w:rsidRDefault="00F13A97" w:rsidP="00F13A97">
                      <w:pPr>
                        <w:rPr>
                          <w:rFonts w:ascii="Century Gothic" w:hAnsi="Century Gothic"/>
                          <w:color w:val="000000" w:themeColor="text1"/>
                        </w:rPr>
                      </w:pPr>
                    </w:p>
                    <w:p w14:paraId="6C9A6E83" w14:textId="77777777" w:rsidR="00F13A97" w:rsidRDefault="00F13A97" w:rsidP="00F13A97"/>
                  </w:txbxContent>
                </v:textbox>
                <w10:wrap type="square" anchorx="margin" anchory="margin"/>
              </v:roundrect>
            </w:pict>
          </mc:Fallback>
        </mc:AlternateContent>
      </w:r>
    </w:p>
    <w:sectPr w:rsidR="00DF101B" w:rsidRPr="00F13A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rrault, Autumn" w:date="2021-04-20T15:11:00Z" w:initials="PA">
    <w:p w14:paraId="3DD84312" w14:textId="77777777" w:rsidR="00F13A97" w:rsidRDefault="00F13A97" w:rsidP="00F13A97">
      <w:pPr>
        <w:pStyle w:val="CommentText"/>
      </w:pPr>
      <w:r>
        <w:rPr>
          <w:rStyle w:val="CommentReference"/>
        </w:rPr>
        <w:annotationRef/>
      </w:r>
      <w:r>
        <w:t xml:space="preserve">I wonder if we would like to connect this to a structure measure rather than a “driver” </w:t>
      </w:r>
    </w:p>
    <w:p w14:paraId="2C91DF2F" w14:textId="77777777" w:rsidR="00F13A97" w:rsidRDefault="00F13A97" w:rsidP="00F13A97">
      <w:pPr>
        <w:pStyle w:val="CommentText"/>
      </w:pPr>
    </w:p>
    <w:p w14:paraId="732BD926" w14:textId="77777777" w:rsidR="00F13A97" w:rsidRDefault="00F13A97" w:rsidP="00F13A97">
      <w:pPr>
        <w:pStyle w:val="CommentText"/>
      </w:pPr>
      <w:proofErr w:type="spellStart"/>
      <w:r>
        <w:t>Ieshia</w:t>
      </w:r>
      <w:proofErr w:type="spellEnd"/>
      <w:r>
        <w:t>, will you add in the language we have listed in our structure measure in this comment box so w can review them against one another?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7AEA"/>
    <w:multiLevelType w:val="hybridMultilevel"/>
    <w:tmpl w:val="49CA49AA"/>
    <w:lvl w:ilvl="0" w:tplc="7CC895FC">
      <w:start w:val="1"/>
      <w:numFmt w:val="bullet"/>
      <w:lvlText w:val="•"/>
      <w:lvlJc w:val="left"/>
      <w:pPr>
        <w:ind w:left="720" w:hanging="360"/>
      </w:pPr>
      <w:rPr>
        <w:rFonts w:ascii="Times New Roman" w:hAnsi="Times New Roman" w:hint="default"/>
        <w:b w:val="0"/>
        <w:bCs w:val="0"/>
        <w:i w:val="0"/>
        <w:iCs w:val="0"/>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170384"/>
    <w:multiLevelType w:val="multilevel"/>
    <w:tmpl w:val="2A986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05654B6"/>
    <w:multiLevelType w:val="hybridMultilevel"/>
    <w:tmpl w:val="09822874"/>
    <w:lvl w:ilvl="0" w:tplc="7CC895FC">
      <w:start w:val="1"/>
      <w:numFmt w:val="bullet"/>
      <w:lvlText w:val="•"/>
      <w:lvlJc w:val="left"/>
      <w:pPr>
        <w:ind w:left="720" w:hanging="360"/>
      </w:pPr>
      <w:rPr>
        <w:rFonts w:ascii="Times New Roman" w:hAnsi="Times New Roman"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75E49"/>
    <w:multiLevelType w:val="multilevel"/>
    <w:tmpl w:val="6AB4D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C4E27"/>
    <w:multiLevelType w:val="hybridMultilevel"/>
    <w:tmpl w:val="0882AD7A"/>
    <w:lvl w:ilvl="0" w:tplc="7CC895FC">
      <w:start w:val="1"/>
      <w:numFmt w:val="bullet"/>
      <w:lvlText w:val="•"/>
      <w:lvlJc w:val="left"/>
      <w:pPr>
        <w:ind w:left="720" w:hanging="360"/>
      </w:pPr>
      <w:rPr>
        <w:rFonts w:ascii="Times New Roman" w:hAnsi="Times New Roman" w:hint="default"/>
        <w:b w:val="0"/>
        <w:bCs w:val="0"/>
        <w:i w:val="0"/>
        <w:iCs w:val="0"/>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94486"/>
    <w:multiLevelType w:val="hybridMultilevel"/>
    <w:tmpl w:val="04EC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97"/>
    <w:rsid w:val="00456D88"/>
    <w:rsid w:val="00D2063B"/>
    <w:rsid w:val="00DF101B"/>
    <w:rsid w:val="00F13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3CA2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97"/>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97"/>
    <w:pPr>
      <w:ind w:left="720"/>
      <w:contextualSpacing/>
    </w:pPr>
  </w:style>
  <w:style w:type="character" w:styleId="CommentReference">
    <w:name w:val="annotation reference"/>
    <w:basedOn w:val="DefaultParagraphFont"/>
    <w:uiPriority w:val="99"/>
    <w:semiHidden/>
    <w:unhideWhenUsed/>
    <w:rsid w:val="00F13A97"/>
    <w:rPr>
      <w:sz w:val="16"/>
      <w:szCs w:val="16"/>
    </w:rPr>
  </w:style>
  <w:style w:type="paragraph" w:styleId="CommentText">
    <w:name w:val="annotation text"/>
    <w:basedOn w:val="Normal"/>
    <w:link w:val="CommentTextChar"/>
    <w:uiPriority w:val="99"/>
    <w:semiHidden/>
    <w:unhideWhenUsed/>
    <w:rsid w:val="00F13A97"/>
    <w:pPr>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F13A97"/>
    <w:rPr>
      <w:rFonts w:ascii="Cambria" w:eastAsia="Cambria" w:hAnsi="Cambria" w:cs="Cambria"/>
      <w:sz w:val="20"/>
      <w:szCs w:val="20"/>
    </w:rPr>
  </w:style>
  <w:style w:type="paragraph" w:styleId="BalloonText">
    <w:name w:val="Balloon Text"/>
    <w:basedOn w:val="Normal"/>
    <w:link w:val="BalloonTextChar"/>
    <w:uiPriority w:val="99"/>
    <w:semiHidden/>
    <w:unhideWhenUsed/>
    <w:rsid w:val="00F13A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A97"/>
    <w:rPr>
      <w:rFonts w:ascii="Lucida Grande" w:eastAsiaTheme="minorHAnsi" w:hAnsi="Lucida Grande" w:cs="Lucida Grande"/>
      <w:sz w:val="18"/>
      <w:szCs w:val="18"/>
    </w:rPr>
  </w:style>
  <w:style w:type="character" w:styleId="Hyperlink">
    <w:name w:val="Hyperlink"/>
    <w:basedOn w:val="DefaultParagraphFont"/>
    <w:uiPriority w:val="99"/>
    <w:unhideWhenUsed/>
    <w:rsid w:val="00F13A97"/>
    <w:rPr>
      <w:color w:val="0000FF" w:themeColor="hyperlink"/>
      <w:u w:val="single"/>
    </w:rPr>
  </w:style>
  <w:style w:type="character" w:styleId="FollowedHyperlink">
    <w:name w:val="FollowedHyperlink"/>
    <w:basedOn w:val="DefaultParagraphFont"/>
    <w:uiPriority w:val="99"/>
    <w:semiHidden/>
    <w:unhideWhenUsed/>
    <w:rsid w:val="00F13A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97"/>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97"/>
    <w:pPr>
      <w:ind w:left="720"/>
      <w:contextualSpacing/>
    </w:pPr>
  </w:style>
  <w:style w:type="character" w:styleId="CommentReference">
    <w:name w:val="annotation reference"/>
    <w:basedOn w:val="DefaultParagraphFont"/>
    <w:uiPriority w:val="99"/>
    <w:semiHidden/>
    <w:unhideWhenUsed/>
    <w:rsid w:val="00F13A97"/>
    <w:rPr>
      <w:sz w:val="16"/>
      <w:szCs w:val="16"/>
    </w:rPr>
  </w:style>
  <w:style w:type="paragraph" w:styleId="CommentText">
    <w:name w:val="annotation text"/>
    <w:basedOn w:val="Normal"/>
    <w:link w:val="CommentTextChar"/>
    <w:uiPriority w:val="99"/>
    <w:semiHidden/>
    <w:unhideWhenUsed/>
    <w:rsid w:val="00F13A97"/>
    <w:pPr>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F13A97"/>
    <w:rPr>
      <w:rFonts w:ascii="Cambria" w:eastAsia="Cambria" w:hAnsi="Cambria" w:cs="Cambria"/>
      <w:sz w:val="20"/>
      <w:szCs w:val="20"/>
    </w:rPr>
  </w:style>
  <w:style w:type="paragraph" w:styleId="BalloonText">
    <w:name w:val="Balloon Text"/>
    <w:basedOn w:val="Normal"/>
    <w:link w:val="BalloonTextChar"/>
    <w:uiPriority w:val="99"/>
    <w:semiHidden/>
    <w:unhideWhenUsed/>
    <w:rsid w:val="00F13A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A97"/>
    <w:rPr>
      <w:rFonts w:ascii="Lucida Grande" w:eastAsiaTheme="minorHAnsi" w:hAnsi="Lucida Grande" w:cs="Lucida Grande"/>
      <w:sz w:val="18"/>
      <w:szCs w:val="18"/>
    </w:rPr>
  </w:style>
  <w:style w:type="character" w:styleId="Hyperlink">
    <w:name w:val="Hyperlink"/>
    <w:basedOn w:val="DefaultParagraphFont"/>
    <w:uiPriority w:val="99"/>
    <w:unhideWhenUsed/>
    <w:rsid w:val="00F13A97"/>
    <w:rPr>
      <w:color w:val="0000FF" w:themeColor="hyperlink"/>
      <w:u w:val="single"/>
    </w:rPr>
  </w:style>
  <w:style w:type="character" w:styleId="FollowedHyperlink">
    <w:name w:val="FollowedHyperlink"/>
    <w:basedOn w:val="DefaultParagraphFont"/>
    <w:uiPriority w:val="99"/>
    <w:semiHidden/>
    <w:unhideWhenUsed/>
    <w:rsid w:val="00F13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comments" Target="comments.xml"/><Relationship Id="rId8" Type="http://schemas.openxmlformats.org/officeDocument/2006/relationships/hyperlink" Target="https://thinkculturalhealth.hhs.gov/maternal-health-care/login"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2486</Characters>
  <Application>Microsoft Macintosh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Lamberson</dc:creator>
  <cp:keywords/>
  <dc:description/>
  <cp:lastModifiedBy>Jessica Lamberson</cp:lastModifiedBy>
  <cp:revision>2</cp:revision>
  <dcterms:created xsi:type="dcterms:W3CDTF">2021-04-20T20:05:00Z</dcterms:created>
  <dcterms:modified xsi:type="dcterms:W3CDTF">2021-04-20T20:18:00Z</dcterms:modified>
</cp:coreProperties>
</file>