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9174" w14:textId="77777777" w:rsidR="000B7B66" w:rsidRPr="00242FF7" w:rsidRDefault="000B7B66" w:rsidP="000B7B66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5438">
        <w:rPr>
          <w:noProof/>
        </w:rPr>
        <w:drawing>
          <wp:anchor distT="0" distB="0" distL="114300" distR="114300" simplePos="0" relativeHeight="251660288" behindDoc="0" locked="0" layoutInCell="1" allowOverlap="1" wp14:anchorId="68847597" wp14:editId="3CA015C5">
            <wp:simplePos x="0" y="0"/>
            <wp:positionH relativeFrom="column">
              <wp:posOffset>4867275</wp:posOffset>
            </wp:positionH>
            <wp:positionV relativeFrom="paragraph">
              <wp:posOffset>-542925</wp:posOffset>
            </wp:positionV>
            <wp:extent cx="1614391" cy="7620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9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438">
        <w:rPr>
          <w:rFonts w:ascii="Bookman Old Style" w:hAnsi="Bookman Old Style"/>
          <w:b/>
          <w:sz w:val="32"/>
        </w:rPr>
        <w:t xml:space="preserve"> </w:t>
      </w:r>
      <w:r w:rsidR="00E25438" w:rsidRPr="00242FF7">
        <w:rPr>
          <w:rFonts w:asciiTheme="majorHAnsi" w:hAnsiTheme="majorHAnsi" w:cstheme="majorHAnsi"/>
          <w:b/>
          <w:sz w:val="24"/>
          <w:szCs w:val="24"/>
          <w:u w:val="single"/>
        </w:rPr>
        <w:t xml:space="preserve">CDC Hear Her </w:t>
      </w:r>
      <w:r w:rsidRPr="00242FF7">
        <w:rPr>
          <w:rFonts w:asciiTheme="majorHAnsi" w:hAnsiTheme="majorHAnsi" w:cstheme="majorHAnsi"/>
          <w:b/>
          <w:sz w:val="24"/>
          <w:szCs w:val="24"/>
          <w:u w:val="single"/>
        </w:rPr>
        <w:t>Information Sheet</w:t>
      </w:r>
    </w:p>
    <w:p w14:paraId="03D2D953" w14:textId="77777777" w:rsidR="000B7B66" w:rsidRPr="00242FF7" w:rsidRDefault="000B7B66" w:rsidP="000B7B66">
      <w:pPr>
        <w:rPr>
          <w:rFonts w:asciiTheme="majorHAnsi" w:hAnsiTheme="majorHAnsi" w:cstheme="majorHAnsi"/>
          <w:b/>
          <w:sz w:val="24"/>
          <w:szCs w:val="24"/>
        </w:rPr>
      </w:pPr>
      <w:r w:rsidRPr="00242FF7">
        <w:rPr>
          <w:rFonts w:asciiTheme="majorHAnsi" w:hAnsiTheme="majorHAnsi" w:cstheme="majorHAnsi"/>
          <w:b/>
          <w:sz w:val="24"/>
          <w:szCs w:val="24"/>
        </w:rPr>
        <w:t>Description:</w:t>
      </w:r>
    </w:p>
    <w:p w14:paraId="4AE7F1E2" w14:textId="77777777" w:rsidR="000B7B66" w:rsidRPr="00242FF7" w:rsidRDefault="00781D9F" w:rsidP="000B7B66">
      <w:pPr>
        <w:rPr>
          <w:rFonts w:asciiTheme="majorHAnsi" w:hAnsiTheme="majorHAnsi" w:cstheme="majorHAnsi"/>
          <w:sz w:val="24"/>
          <w:szCs w:val="24"/>
        </w:rPr>
      </w:pPr>
      <w:hyperlink r:id="rId7">
        <w:r w:rsidR="000B7B66" w:rsidRPr="00242FF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CDC’s Hear Her Campaign</w:t>
        </w:r>
      </w:hyperlink>
      <w:r w:rsidR="000B7B66" w:rsidRPr="00242FF7">
        <w:rPr>
          <w:rFonts w:asciiTheme="majorHAnsi" w:hAnsiTheme="majorHAnsi" w:cstheme="majorHAnsi"/>
          <w:sz w:val="24"/>
          <w:szCs w:val="24"/>
        </w:rPr>
        <w:t xml:space="preserve"> seeks to raise awareness of potentially life-threatening warning signs during and after pregnancy and improve communication between patients and their healthcare providers. The campaign’s objectives are to:</w:t>
      </w:r>
    </w:p>
    <w:p w14:paraId="3F3755CD" w14:textId="77777777" w:rsidR="000B7B66" w:rsidRPr="00242FF7" w:rsidRDefault="000B7B66" w:rsidP="000B7B6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>Increase awareness of serious pregnancy-related complications and their warning signs.</w:t>
      </w:r>
    </w:p>
    <w:p w14:paraId="48E36620" w14:textId="77777777" w:rsidR="000B7B66" w:rsidRPr="00242FF7" w:rsidRDefault="000B7B66" w:rsidP="000B7B6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>Empower women to speak up and raise concerns.</w:t>
      </w:r>
    </w:p>
    <w:p w14:paraId="56D1AC7F" w14:textId="77777777" w:rsidR="000B7B66" w:rsidRPr="00242FF7" w:rsidRDefault="000B7B66" w:rsidP="000B7B6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>Encourage women’s support systems to engage in important conversations with her.</w:t>
      </w:r>
    </w:p>
    <w:p w14:paraId="44D359EE" w14:textId="77777777" w:rsidR="000B7B66" w:rsidRPr="00242FF7" w:rsidRDefault="000B7B66" w:rsidP="000B7B66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>Provide tools for women and providers to better engage in life-saving conversations.</w:t>
      </w:r>
    </w:p>
    <w:p w14:paraId="7B2DD879" w14:textId="77777777" w:rsidR="000B7B66" w:rsidRPr="00242FF7" w:rsidRDefault="000B7B66" w:rsidP="000B7B66">
      <w:pPr>
        <w:rPr>
          <w:rFonts w:asciiTheme="majorHAnsi" w:hAnsiTheme="majorHAnsi" w:cstheme="majorHAnsi"/>
          <w:sz w:val="24"/>
          <w:szCs w:val="24"/>
        </w:rPr>
      </w:pPr>
    </w:p>
    <w:p w14:paraId="28D69212" w14:textId="77777777" w:rsidR="000B7B66" w:rsidRPr="00242FF7" w:rsidRDefault="000B7B66" w:rsidP="000B7B66">
      <w:pPr>
        <w:rPr>
          <w:rFonts w:asciiTheme="majorHAnsi" w:hAnsiTheme="majorHAnsi" w:cstheme="majorHAnsi"/>
          <w:b/>
          <w:sz w:val="24"/>
          <w:szCs w:val="24"/>
        </w:rPr>
      </w:pPr>
      <w:r w:rsidRPr="00242FF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700054" wp14:editId="37C98795">
            <wp:simplePos x="0" y="0"/>
            <wp:positionH relativeFrom="column">
              <wp:posOffset>4152900</wp:posOffset>
            </wp:positionH>
            <wp:positionV relativeFrom="paragraph">
              <wp:posOffset>229870</wp:posOffset>
            </wp:positionV>
            <wp:extent cx="2320925" cy="15817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1-04-12 at 8.42.12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FF7">
        <w:rPr>
          <w:rFonts w:asciiTheme="majorHAnsi" w:hAnsiTheme="majorHAnsi" w:cstheme="majorHAnsi"/>
          <w:b/>
          <w:sz w:val="24"/>
          <w:szCs w:val="24"/>
        </w:rPr>
        <w:t>Education Content available:</w:t>
      </w:r>
    </w:p>
    <w:p w14:paraId="4AAE769C" w14:textId="77777777" w:rsidR="000B7B66" w:rsidRPr="00242FF7" w:rsidRDefault="000B7B66" w:rsidP="000B7B6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242FF7">
        <w:rPr>
          <w:rFonts w:asciiTheme="majorHAnsi" w:hAnsiTheme="majorHAnsi" w:cstheme="majorHAnsi"/>
          <w:sz w:val="24"/>
          <w:szCs w:val="24"/>
        </w:rPr>
        <w:t xml:space="preserve">ILPQC teams can navigate the main page of the Hear </w:t>
      </w:r>
      <w:proofErr w:type="gramStart"/>
      <w:r w:rsidRPr="00242FF7">
        <w:rPr>
          <w:rFonts w:asciiTheme="majorHAnsi" w:hAnsiTheme="majorHAnsi" w:cstheme="majorHAnsi"/>
          <w:sz w:val="24"/>
          <w:szCs w:val="24"/>
        </w:rPr>
        <w:t>Her</w:t>
      </w:r>
      <w:proofErr w:type="gramEnd"/>
      <w:r w:rsidRPr="00242FF7">
        <w:rPr>
          <w:rFonts w:asciiTheme="majorHAnsi" w:hAnsiTheme="majorHAnsi" w:cstheme="majorHAnsi"/>
          <w:sz w:val="24"/>
          <w:szCs w:val="24"/>
        </w:rPr>
        <w:t xml:space="preserve"> camp</w:t>
      </w:r>
      <w:r w:rsidR="00E25438" w:rsidRPr="00242FF7">
        <w:rPr>
          <w:rFonts w:asciiTheme="majorHAnsi" w:hAnsiTheme="majorHAnsi" w:cstheme="majorHAnsi"/>
          <w:sz w:val="24"/>
          <w:szCs w:val="24"/>
        </w:rPr>
        <w:t>aign linked below and find multiple</w:t>
      </w:r>
      <w:r w:rsidRPr="00242FF7">
        <w:rPr>
          <w:rFonts w:asciiTheme="majorHAnsi" w:hAnsiTheme="majorHAnsi" w:cstheme="majorHAnsi"/>
          <w:sz w:val="24"/>
          <w:szCs w:val="24"/>
        </w:rPr>
        <w:t xml:space="preserve"> resources within the website. Resources include links and information for patients, family and </w:t>
      </w:r>
      <w:r w:rsidR="00E25438" w:rsidRPr="00242FF7">
        <w:rPr>
          <w:rFonts w:asciiTheme="majorHAnsi" w:hAnsiTheme="majorHAnsi" w:cstheme="majorHAnsi"/>
          <w:sz w:val="24"/>
          <w:szCs w:val="24"/>
        </w:rPr>
        <w:t xml:space="preserve">support members, and providers and </w:t>
      </w:r>
      <w:r w:rsidRPr="00242FF7">
        <w:rPr>
          <w:rFonts w:asciiTheme="majorHAnsi" w:hAnsiTheme="majorHAnsi" w:cstheme="majorHAnsi"/>
          <w:sz w:val="24"/>
          <w:szCs w:val="24"/>
        </w:rPr>
        <w:t>are available in Spanish and English. Brief, compelling first-hand video accounts of patients who’ve experienced pregnancy or postpartum complications are included in the personal stories link</w:t>
      </w:r>
      <w:bookmarkEnd w:id="0"/>
      <w:r w:rsidRPr="00242FF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090FBF" w14:textId="77777777" w:rsidR="000B7B66" w:rsidRPr="00242FF7" w:rsidRDefault="00781D9F" w:rsidP="000B7B66">
      <w:pPr>
        <w:rPr>
          <w:rFonts w:asciiTheme="majorHAnsi" w:hAnsiTheme="majorHAnsi" w:cstheme="majorHAnsi"/>
          <w:sz w:val="24"/>
          <w:szCs w:val="24"/>
        </w:rPr>
      </w:pPr>
      <w:hyperlink r:id="rId9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Resources</w:t>
        </w:r>
      </w:hyperlink>
      <w:r w:rsidR="000B7B66" w:rsidRPr="00242FF7">
        <w:rPr>
          <w:rFonts w:asciiTheme="majorHAnsi" w:hAnsiTheme="majorHAnsi" w:cstheme="majorHAnsi"/>
          <w:sz w:val="24"/>
          <w:szCs w:val="24"/>
        </w:rPr>
        <w:t xml:space="preserve"> available include, links to:</w:t>
      </w:r>
    </w:p>
    <w:p w14:paraId="50ADDA64" w14:textId="77777777" w:rsidR="000B7B66" w:rsidRPr="00242FF7" w:rsidRDefault="0083251E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633CA4" wp14:editId="7F1A2D6D">
            <wp:simplePos x="0" y="0"/>
            <wp:positionH relativeFrom="margin">
              <wp:posOffset>4699000</wp:posOffset>
            </wp:positionH>
            <wp:positionV relativeFrom="margin">
              <wp:posOffset>5008880</wp:posOffset>
            </wp:positionV>
            <wp:extent cx="1473200" cy="15093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1-04-12 at 9.05.26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Personal Stories of Pregnancy-Related Complications</w:t>
        </w:r>
      </w:hyperlink>
      <w:r w:rsidR="000B7B66" w:rsidRPr="00242F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38A01D86" w14:textId="11B493C4" w:rsidR="000B7B66" w:rsidRPr="00242FF7" w:rsidRDefault="00781D9F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2" w:history="1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ACOG’s Every Mom. Every Time. Campaign</w:t>
        </w:r>
      </w:hyperlink>
    </w:p>
    <w:p w14:paraId="7199666F" w14:textId="44BF8EFC" w:rsidR="000B7B66" w:rsidRPr="00242FF7" w:rsidRDefault="00781D9F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3" w:history="1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AWHONN’s POSTBIRTH Warning Signs Education Program</w:t>
        </w:r>
      </w:hyperlink>
    </w:p>
    <w:p w14:paraId="24FB987A" w14:textId="56F86FAD" w:rsidR="000B7B66" w:rsidRPr="00242FF7" w:rsidRDefault="00781D9F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4" w:history="1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AHRQ’s Improving Perinatal Care Toolkit</w:t>
        </w:r>
      </w:hyperlink>
    </w:p>
    <w:p w14:paraId="63154660" w14:textId="579E8063" w:rsidR="000B7B66" w:rsidRPr="00242FF7" w:rsidRDefault="00781D9F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5" w:history="1">
        <w:r w:rsidR="000B7B66"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Council on Patient Safety in Women’s Health Care’s Maternal Safety Bundles</w:t>
        </w:r>
      </w:hyperlink>
    </w:p>
    <w:p w14:paraId="4239CAB5" w14:textId="77777777" w:rsidR="00E25438" w:rsidRPr="00242FF7" w:rsidRDefault="000B7B66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 xml:space="preserve">Resources and links for </w:t>
      </w:r>
      <w:hyperlink r:id="rId16" w:history="1">
        <w:r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pregnant and postpartum patients</w:t>
        </w:r>
      </w:hyperlink>
    </w:p>
    <w:p w14:paraId="492050DF" w14:textId="174A7EB3" w:rsidR="000B7B66" w:rsidRPr="00242FF7" w:rsidRDefault="000B7B66" w:rsidP="000B7B66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2FF7">
        <w:rPr>
          <w:rFonts w:asciiTheme="majorHAnsi" w:hAnsiTheme="majorHAnsi" w:cstheme="majorHAnsi"/>
          <w:sz w:val="24"/>
          <w:szCs w:val="24"/>
        </w:rPr>
        <w:t xml:space="preserve">Resources and links for </w:t>
      </w:r>
      <w:hyperlink r:id="rId17" w:history="1">
        <w:r w:rsidRPr="00242FF7">
          <w:rPr>
            <w:rStyle w:val="Hyperlink"/>
            <w:rFonts w:asciiTheme="majorHAnsi" w:hAnsiTheme="majorHAnsi" w:cstheme="majorHAnsi"/>
            <w:sz w:val="24"/>
            <w:szCs w:val="24"/>
          </w:rPr>
          <w:t>support network of pregnant and postpartum patients</w:t>
        </w:r>
      </w:hyperlink>
    </w:p>
    <w:p w14:paraId="1FEB5DD0" w14:textId="77777777" w:rsidR="00C55E32" w:rsidRPr="00242FF7" w:rsidRDefault="00C55E32" w:rsidP="00C55E3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77CB4FC1" w14:textId="77777777" w:rsidR="0083251E" w:rsidRPr="00242FF7" w:rsidRDefault="000B7B66" w:rsidP="000B7B66">
      <w:pPr>
        <w:rPr>
          <w:rFonts w:asciiTheme="majorHAnsi" w:hAnsiTheme="majorHAnsi" w:cstheme="majorHAnsi"/>
          <w:b/>
          <w:sz w:val="24"/>
          <w:szCs w:val="24"/>
        </w:rPr>
      </w:pPr>
      <w:r w:rsidRPr="00242FF7">
        <w:rPr>
          <w:rFonts w:asciiTheme="majorHAnsi" w:hAnsiTheme="majorHAnsi" w:cstheme="majorHAnsi"/>
          <w:b/>
          <w:sz w:val="24"/>
          <w:szCs w:val="24"/>
        </w:rPr>
        <w:t>Access Information:</w:t>
      </w:r>
    </w:p>
    <w:p w14:paraId="4E8BE95D" w14:textId="7FB766C0" w:rsidR="00DF101B" w:rsidRPr="000D0605" w:rsidRDefault="0083251E">
      <w:pPr>
        <w:rPr>
          <w:rFonts w:ascii="Century Gothic" w:hAnsi="Century Gothic"/>
        </w:rPr>
      </w:pPr>
      <w:r w:rsidRPr="00242FF7">
        <w:rPr>
          <w:rFonts w:asciiTheme="majorHAnsi" w:eastAsia="Calibr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A43D" wp14:editId="17AF157D">
                <wp:simplePos x="0" y="0"/>
                <wp:positionH relativeFrom="margin">
                  <wp:posOffset>50800</wp:posOffset>
                </wp:positionH>
                <wp:positionV relativeFrom="margin">
                  <wp:posOffset>7235825</wp:posOffset>
                </wp:positionV>
                <wp:extent cx="6223000" cy="1562100"/>
                <wp:effectExtent l="0" t="0" r="25400" b="3810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562100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  <a:alpha val="49804"/>
                          </a:srgbClr>
                        </a:solidFill>
                        <a:ln w="28575">
                          <a:solidFill>
                            <a:srgbClr val="004990"/>
                          </a:solidFill>
                        </a:ln>
                        <a:effectLst/>
                      </wps:spPr>
                      <wps:txbx>
                        <w:txbxContent>
                          <w:p w14:paraId="433C402E" w14:textId="77777777" w:rsidR="0083251E" w:rsidRDefault="0083251E" w:rsidP="006A4BE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</w:pPr>
                            <w:r w:rsidRPr="009C6715">
                              <w:rPr>
                                <w:rFonts w:ascii="Bookman Old Style" w:hAnsi="Bookman Old Style"/>
                                <w:color w:val="000000" w:themeColor="text1"/>
                                <w:u w:val="single"/>
                              </w:rPr>
                              <w:t>Implementation strategies for the QI team</w:t>
                            </w:r>
                          </w:p>
                          <w:p w14:paraId="7976FD7F" w14:textId="2BF06062" w:rsidR="0083251E" w:rsidRPr="00882AAA" w:rsidRDefault="006A4BE2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1: In a small group with appropriate facilitator, use the personal stories of pregnancy-related complications to build empathy &amp; prompt discussion</w:t>
                            </w:r>
                          </w:p>
                          <w:p w14:paraId="64E7FAB4" w14:textId="297B3FE2" w:rsidR="0083251E" w:rsidRPr="00882AAA" w:rsidRDefault="0083251E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2</w:t>
                            </w:r>
                            <w:r w:rsidR="006A4BE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Have staff complete AWHONN’s POSTBIRTH Warning Signs program</w:t>
                            </w:r>
                          </w:p>
                          <w:p w14:paraId="3289B81D" w14:textId="5C7786FB" w:rsidR="0083251E" w:rsidRDefault="0083251E" w:rsidP="008325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82AAA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Idea 3</w:t>
                            </w:r>
                            <w:r w:rsidR="006A4BE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Use the resources to develop educational handouts for patients and families at provider offices and inpatient units</w:t>
                            </w:r>
                          </w:p>
                          <w:p w14:paraId="6868F983" w14:textId="77777777" w:rsidR="0083251E" w:rsidRPr="009C6715" w:rsidRDefault="0083251E" w:rsidP="008325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E3913A6" w14:textId="77777777" w:rsidR="0083251E" w:rsidRDefault="0083251E" w:rsidP="0083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4DA43D" id="Rounded Rectangle 1" o:spid="_x0000_s1026" style="position:absolute;margin-left:4pt;margin-top:569.75pt;width:490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" fillcolor="#d6dce5" strokecolor="#004990" strokeweight="2.25pt">
                <v:fill opacity="32639f"/>
                <v:textbox>
                  <w:txbxContent>
                    <w:p w14:paraId="433C402E" w14:textId="77777777" w:rsidR="0083251E" w:rsidRDefault="0083251E" w:rsidP="006A4BE2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</w:pPr>
                      <w:r w:rsidRPr="009C6715">
                        <w:rPr>
                          <w:rFonts w:ascii="Bookman Old Style" w:hAnsi="Bookman Old Style"/>
                          <w:color w:val="000000" w:themeColor="text1"/>
                          <w:u w:val="single"/>
                        </w:rPr>
                        <w:t>Implementation strategies for the QI team</w:t>
                      </w:r>
                    </w:p>
                    <w:p w14:paraId="7976FD7F" w14:textId="2BF06062" w:rsidR="0083251E" w:rsidRPr="00882AAA" w:rsidRDefault="006A4BE2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Idea 1: In a small group with appropriate facilitator, use the personal stories of pregnancy-related complications to build empathy &amp; prompt discussion</w:t>
                      </w:r>
                    </w:p>
                    <w:p w14:paraId="64E7FAB4" w14:textId="297B3FE2" w:rsidR="0083251E" w:rsidRPr="00882AAA" w:rsidRDefault="0083251E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2</w:t>
                      </w:r>
                      <w:r w:rsidR="006A4BE2">
                        <w:rPr>
                          <w:rFonts w:ascii="Century Gothic" w:hAnsi="Century Gothic"/>
                          <w:color w:val="000000" w:themeColor="text1"/>
                        </w:rPr>
                        <w:t>: Have staff complete AWHONN’s POSTBIRTH Warning Signs program</w:t>
                      </w:r>
                    </w:p>
                    <w:p w14:paraId="3289B81D" w14:textId="5C7786FB" w:rsidR="0083251E" w:rsidRDefault="0083251E" w:rsidP="008325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82AAA">
                        <w:rPr>
                          <w:rFonts w:ascii="Century Gothic" w:hAnsi="Century Gothic"/>
                          <w:color w:val="000000" w:themeColor="text1"/>
                        </w:rPr>
                        <w:t>Idea 3</w:t>
                      </w:r>
                      <w:r w:rsidR="006A4BE2">
                        <w:rPr>
                          <w:rFonts w:ascii="Century Gothic" w:hAnsi="Century Gothic"/>
                          <w:color w:val="000000" w:themeColor="text1"/>
                        </w:rPr>
                        <w:t>: Use the resources to develop educational handouts for patients and families at provider offices and inpatient units</w:t>
                      </w:r>
                    </w:p>
                    <w:p w14:paraId="6868F983" w14:textId="77777777" w:rsidR="0083251E" w:rsidRPr="009C6715" w:rsidRDefault="0083251E" w:rsidP="0083251E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E3913A6" w14:textId="77777777" w:rsidR="0083251E" w:rsidRDefault="0083251E" w:rsidP="0083251E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25438" w:rsidRPr="00242FF7">
        <w:rPr>
          <w:rFonts w:asciiTheme="majorHAnsi" w:hAnsiTheme="majorHAnsi" w:cstheme="majorHAnsi"/>
          <w:sz w:val="24"/>
          <w:szCs w:val="24"/>
        </w:rPr>
        <w:t>Find the main page of the Hear Her campaign</w:t>
      </w:r>
      <w:r w:rsidR="00E25438" w:rsidRPr="000B7B66">
        <w:rPr>
          <w:rFonts w:ascii="Century Gothic" w:hAnsi="Century Gothic"/>
        </w:rPr>
        <w:t xml:space="preserve"> linked </w:t>
      </w:r>
      <w:hyperlink r:id="rId18" w:history="1">
        <w:r w:rsidR="00E25438" w:rsidRPr="00E25438">
          <w:rPr>
            <w:rStyle w:val="Hyperlink"/>
            <w:rFonts w:ascii="Century Gothic" w:hAnsi="Century Gothic"/>
          </w:rPr>
          <w:t>here</w:t>
        </w:r>
      </w:hyperlink>
      <w:r w:rsidR="00E25438">
        <w:rPr>
          <w:rFonts w:ascii="Century Gothic" w:hAnsi="Century Gothic"/>
        </w:rPr>
        <w:t xml:space="preserve"> for</w:t>
      </w:r>
      <w:r w:rsidR="00E25438" w:rsidRPr="000B7B66">
        <w:rPr>
          <w:rFonts w:ascii="Century Gothic" w:hAnsi="Century Gothic"/>
        </w:rPr>
        <w:t xml:space="preserve"> </w:t>
      </w:r>
      <w:r w:rsidR="00E25438">
        <w:rPr>
          <w:rFonts w:ascii="Century Gothic" w:hAnsi="Century Gothic"/>
        </w:rPr>
        <w:t xml:space="preserve">available </w:t>
      </w:r>
      <w:r w:rsidR="00E25438" w:rsidRPr="000B7B66">
        <w:rPr>
          <w:rFonts w:ascii="Century Gothic" w:hAnsi="Century Gothic"/>
        </w:rPr>
        <w:t>resources</w:t>
      </w:r>
      <w:r w:rsidR="00E25438">
        <w:rPr>
          <w:rFonts w:ascii="Century Gothic" w:hAnsi="Century Gothic"/>
        </w:rPr>
        <w:t>.</w:t>
      </w:r>
    </w:p>
    <w:sectPr w:rsidR="00DF101B" w:rsidRPr="000D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7F2"/>
    <w:multiLevelType w:val="multilevel"/>
    <w:tmpl w:val="C0E48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D6C1C"/>
    <w:multiLevelType w:val="multilevel"/>
    <w:tmpl w:val="988E05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8F65BA"/>
    <w:multiLevelType w:val="multilevel"/>
    <w:tmpl w:val="DE02A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494486"/>
    <w:multiLevelType w:val="hybridMultilevel"/>
    <w:tmpl w:val="04E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6"/>
    <w:rsid w:val="000B7B66"/>
    <w:rsid w:val="000D0605"/>
    <w:rsid w:val="00242FF7"/>
    <w:rsid w:val="003D527B"/>
    <w:rsid w:val="004B5854"/>
    <w:rsid w:val="006A4BE2"/>
    <w:rsid w:val="0070794B"/>
    <w:rsid w:val="00781D9F"/>
    <w:rsid w:val="0083251E"/>
    <w:rsid w:val="00C55E32"/>
    <w:rsid w:val="00DF101B"/>
    <w:rsid w:val="00E20EC3"/>
    <w:rsid w:val="00E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628DE"/>
  <w14:defaultImageDpi w14:val="300"/>
  <w15:docId w15:val="{C9951903-0A45-40C0-A964-AE870CA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6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6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66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B7B6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B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66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794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whonn.org/education/hospital-products/post-birth-warning-signs-education-program/" TargetMode="External"/><Relationship Id="rId18" Type="http://schemas.openxmlformats.org/officeDocument/2006/relationships/hyperlink" Target="https://www.cdc.gov/hearher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hearher/index.html" TargetMode="External"/><Relationship Id="rId12" Type="http://schemas.openxmlformats.org/officeDocument/2006/relationships/hyperlink" Target="https://www.acog.org/advocacy/policy-priorities/maternal-mortality-prevention" TargetMode="External"/><Relationship Id="rId17" Type="http://schemas.openxmlformats.org/officeDocument/2006/relationships/hyperlink" Target="https://www.cdc.gov/hearher/partners-friends-family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hearher/pregnant-postpartum-women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dc.gov/hearher/personal-storie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fehealthcareforeverywoman.org/council/patient-safety-bundles/maternal-safety-bundles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hearher/healthcare-providers/index.html" TargetMode="External"/><Relationship Id="rId14" Type="http://schemas.openxmlformats.org/officeDocument/2006/relationships/hyperlink" Target="https://www.ahrq.gov/hai/tools/perinatal-ca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E13D98-BF2F-4A67-AF7C-E2DDA98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Lamberson</dc:creator>
  <cp:keywords/>
  <dc:description/>
  <cp:lastModifiedBy>Ieshia Johnson</cp:lastModifiedBy>
  <cp:revision>2</cp:revision>
  <dcterms:created xsi:type="dcterms:W3CDTF">2021-05-11T22:17:00Z</dcterms:created>
  <dcterms:modified xsi:type="dcterms:W3CDTF">2021-05-11T22:17:00Z</dcterms:modified>
</cp:coreProperties>
</file>