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CEEF" w14:textId="64A5E868" w:rsidR="000A5FBB" w:rsidRPr="001B3AC0" w:rsidRDefault="00882AAA" w:rsidP="00EC7A3D">
      <w:pPr>
        <w:jc w:val="center"/>
        <w:rPr>
          <w:rFonts w:cstheme="minorHAnsi"/>
          <w:b/>
          <w:sz w:val="24"/>
          <w:szCs w:val="24"/>
          <w:u w:val="single"/>
        </w:rPr>
      </w:pPr>
      <w:r w:rsidRPr="00FB53BF">
        <w:rPr>
          <w:rFonts w:cstheme="minorHAnsi"/>
          <w:b/>
          <w:noProof/>
          <w:sz w:val="24"/>
          <w:szCs w:val="24"/>
          <w:u w:val="single"/>
        </w:rPr>
        <w:drawing>
          <wp:anchor distT="0" distB="0" distL="114300" distR="114300" simplePos="0" relativeHeight="251661312" behindDoc="0" locked="0" layoutInCell="1" allowOverlap="1" wp14:anchorId="24E6D8E0" wp14:editId="471AE1CA">
            <wp:simplePos x="0" y="0"/>
            <wp:positionH relativeFrom="column">
              <wp:posOffset>5156835</wp:posOffset>
            </wp:positionH>
            <wp:positionV relativeFrom="paragraph">
              <wp:posOffset>-763905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r w:rsidR="00DD675A" w:rsidRPr="001B3AC0">
        <w:rPr>
          <w:rFonts w:cstheme="minorHAnsi"/>
          <w:b/>
          <w:sz w:val="24"/>
          <w:szCs w:val="24"/>
          <w:u w:val="single"/>
        </w:rPr>
        <w:t xml:space="preserve">Diversity Science </w:t>
      </w:r>
      <w:r w:rsidR="00EC7A3D" w:rsidRPr="001B3AC0">
        <w:rPr>
          <w:rFonts w:cstheme="minorHAnsi"/>
          <w:b/>
          <w:sz w:val="24"/>
          <w:szCs w:val="24"/>
          <w:u w:val="single"/>
        </w:rPr>
        <w:t>Information Sheet</w:t>
      </w:r>
    </w:p>
    <w:p w14:paraId="6420A214" w14:textId="77777777" w:rsidR="00EC7A3D" w:rsidRPr="001B3AC0" w:rsidRDefault="00EC7A3D">
      <w:pPr>
        <w:rPr>
          <w:rFonts w:cstheme="minorHAnsi"/>
          <w:b/>
          <w:sz w:val="24"/>
          <w:szCs w:val="24"/>
        </w:rPr>
      </w:pPr>
      <w:r w:rsidRPr="001B3AC0">
        <w:rPr>
          <w:rFonts w:cstheme="minorHAnsi"/>
          <w:b/>
          <w:sz w:val="24"/>
          <w:szCs w:val="24"/>
          <w:u w:val="single"/>
        </w:rPr>
        <w:t>Description</w:t>
      </w:r>
      <w:r w:rsidRPr="001B3AC0">
        <w:rPr>
          <w:rFonts w:cstheme="minorHAnsi"/>
          <w:b/>
          <w:sz w:val="24"/>
          <w:szCs w:val="24"/>
        </w:rPr>
        <w:t>:</w:t>
      </w:r>
    </w:p>
    <w:p w14:paraId="6244DC46" w14:textId="5E4598F3" w:rsidR="009B2440" w:rsidRDefault="009B2440">
      <w:pPr>
        <w:rPr>
          <w:rFonts w:cstheme="minorHAnsi"/>
          <w:sz w:val="24"/>
          <w:szCs w:val="24"/>
        </w:rPr>
      </w:pPr>
      <w:r>
        <w:rPr>
          <w:rFonts w:cstheme="minorHAnsi"/>
          <w:sz w:val="24"/>
          <w:szCs w:val="24"/>
        </w:rPr>
        <w:t>Diversity Science has created the</w:t>
      </w:r>
      <w:r w:rsidRPr="009B2440">
        <w:rPr>
          <w:rFonts w:cstheme="minorHAnsi"/>
          <w:sz w:val="24"/>
          <w:szCs w:val="24"/>
        </w:rPr>
        <w:t xml:space="preserve"> Dignity in Pregnancy and Childbirth Online training</w:t>
      </w:r>
      <w:r>
        <w:rPr>
          <w:rFonts w:cstheme="minorHAnsi"/>
          <w:sz w:val="24"/>
          <w:szCs w:val="24"/>
        </w:rPr>
        <w:t xml:space="preserve"> that consist of </w:t>
      </w:r>
      <w:r w:rsidRPr="009B2440">
        <w:rPr>
          <w:rFonts w:cstheme="minorHAnsi"/>
          <w:sz w:val="24"/>
          <w:szCs w:val="24"/>
        </w:rPr>
        <w:t>a 3-module program for perinatal providers that focuses on implicit bias and reproductive justice. Resources for leaders and clinicians to promote health equity in their clinical practice and their organizations are also available. It is one bias and equity training recommended by ILPQC for hospital teams to meet Birth Equity Driver 4 strategies</w:t>
      </w:r>
      <w:r>
        <w:rPr>
          <w:rFonts w:cstheme="minorHAnsi"/>
          <w:sz w:val="24"/>
          <w:szCs w:val="24"/>
        </w:rPr>
        <w:t>.</w:t>
      </w:r>
    </w:p>
    <w:p w14:paraId="61DC6F75" w14:textId="490BBC55" w:rsidR="00EC7A3D" w:rsidRPr="001B3AC0" w:rsidRDefault="00EC7A3D">
      <w:pPr>
        <w:rPr>
          <w:rFonts w:cstheme="minorHAnsi"/>
          <w:b/>
          <w:sz w:val="24"/>
          <w:szCs w:val="24"/>
        </w:rPr>
      </w:pPr>
      <w:r w:rsidRPr="001B3AC0">
        <w:rPr>
          <w:rFonts w:cstheme="minorHAnsi"/>
          <w:b/>
          <w:sz w:val="24"/>
          <w:szCs w:val="24"/>
          <w:u w:val="single"/>
        </w:rPr>
        <w:t>Education Content available</w:t>
      </w:r>
      <w:r w:rsidRPr="001B3AC0">
        <w:rPr>
          <w:rFonts w:cstheme="minorHAnsi"/>
          <w:b/>
          <w:sz w:val="24"/>
          <w:szCs w:val="24"/>
        </w:rPr>
        <w:t>:</w:t>
      </w:r>
    </w:p>
    <w:p w14:paraId="60ACB33E" w14:textId="77777777" w:rsidR="00FB53BF" w:rsidRPr="001B3AC0" w:rsidRDefault="00FB53BF" w:rsidP="00FB53BF">
      <w:pPr>
        <w:rPr>
          <w:rFonts w:cstheme="minorHAnsi"/>
          <w:sz w:val="24"/>
          <w:szCs w:val="24"/>
        </w:rPr>
      </w:pPr>
      <w:r w:rsidRPr="001B3AC0">
        <w:rPr>
          <w:rFonts w:cstheme="minorHAnsi"/>
          <w:sz w:val="24"/>
          <w:szCs w:val="24"/>
        </w:rPr>
        <w:t xml:space="preserve">ILPQC has partnered with Diversity Science to provide exclusive online access to their e-modules and materials.  This access is available to all ILPQC hospital teams participating in the Birth Equity Initiative and includes: </w:t>
      </w:r>
    </w:p>
    <w:p w14:paraId="512197A9" w14:textId="77777777" w:rsidR="000753CF" w:rsidRPr="001B3AC0" w:rsidRDefault="000753CF" w:rsidP="000753CF">
      <w:pPr>
        <w:numPr>
          <w:ilvl w:val="0"/>
          <w:numId w:val="6"/>
        </w:numPr>
        <w:rPr>
          <w:rFonts w:cstheme="minorHAnsi"/>
          <w:sz w:val="24"/>
          <w:szCs w:val="24"/>
        </w:rPr>
      </w:pPr>
      <w:r>
        <w:rPr>
          <w:rFonts w:cstheme="minorHAnsi"/>
          <w:sz w:val="24"/>
          <w:szCs w:val="24"/>
        </w:rPr>
        <w:t>Access to online e-modules and training resources</w:t>
      </w:r>
    </w:p>
    <w:p w14:paraId="10C419B2" w14:textId="77777777" w:rsidR="000753CF" w:rsidRPr="001B3AC0" w:rsidRDefault="000753CF" w:rsidP="000753CF">
      <w:pPr>
        <w:numPr>
          <w:ilvl w:val="0"/>
          <w:numId w:val="6"/>
        </w:numPr>
        <w:rPr>
          <w:rFonts w:cstheme="minorHAnsi"/>
          <w:sz w:val="24"/>
          <w:szCs w:val="24"/>
        </w:rPr>
      </w:pPr>
      <w:r>
        <w:rPr>
          <w:rFonts w:cstheme="minorHAnsi"/>
          <w:sz w:val="24"/>
          <w:szCs w:val="24"/>
        </w:rPr>
        <w:t>1:1 e-module integration support</w:t>
      </w:r>
    </w:p>
    <w:p w14:paraId="4E1A7956" w14:textId="77777777" w:rsidR="000753CF" w:rsidRPr="001B3AC0" w:rsidRDefault="000753CF" w:rsidP="000753CF">
      <w:pPr>
        <w:numPr>
          <w:ilvl w:val="0"/>
          <w:numId w:val="6"/>
        </w:numPr>
        <w:rPr>
          <w:rFonts w:cstheme="minorHAnsi"/>
          <w:sz w:val="24"/>
          <w:szCs w:val="24"/>
        </w:rPr>
      </w:pPr>
      <w:r>
        <w:rPr>
          <w:rFonts w:cstheme="minorHAnsi"/>
          <w:sz w:val="24"/>
          <w:szCs w:val="24"/>
        </w:rPr>
        <w:t>Technical support</w:t>
      </w:r>
    </w:p>
    <w:p w14:paraId="67B33535" w14:textId="77777777" w:rsidR="00EC7A3D" w:rsidRPr="001B3AC0" w:rsidRDefault="00EC7A3D" w:rsidP="00FB53BF">
      <w:pPr>
        <w:rPr>
          <w:rFonts w:cstheme="minorHAnsi"/>
          <w:b/>
          <w:sz w:val="24"/>
          <w:szCs w:val="24"/>
        </w:rPr>
      </w:pPr>
      <w:r w:rsidRPr="001B3AC0">
        <w:rPr>
          <w:rFonts w:cstheme="minorHAnsi"/>
          <w:b/>
          <w:sz w:val="24"/>
          <w:szCs w:val="24"/>
          <w:u w:val="single"/>
        </w:rPr>
        <w:t>Access Information</w:t>
      </w:r>
      <w:r w:rsidRPr="001B3AC0">
        <w:rPr>
          <w:rFonts w:cstheme="minorHAnsi"/>
          <w:b/>
          <w:sz w:val="24"/>
          <w:szCs w:val="24"/>
        </w:rPr>
        <w:t>:</w:t>
      </w:r>
    </w:p>
    <w:p w14:paraId="610D2617" w14:textId="77777777" w:rsidR="00EC7A3D" w:rsidRPr="001B3AC0" w:rsidRDefault="00DD675A" w:rsidP="00DD675A">
      <w:pPr>
        <w:rPr>
          <w:rFonts w:cstheme="minorHAnsi"/>
          <w:sz w:val="24"/>
          <w:szCs w:val="24"/>
        </w:rPr>
      </w:pPr>
      <w:r w:rsidRPr="001B3AC0">
        <w:rPr>
          <w:rFonts w:cstheme="minorHAnsi"/>
          <w:sz w:val="24"/>
          <w:szCs w:val="24"/>
        </w:rPr>
        <w:t>Most ILPQC members will access the online training by loading the course files onto their learning management system.  These courses are provided as SCORM files which are compatible with industry standard learning management systems.  Diversity Science will provide technical assistance with teams on an as needed basis.  This service is provided by their instructional design team, and usual resolution times for technical support are 3-5 business days.</w:t>
      </w:r>
    </w:p>
    <w:p w14:paraId="7D19EE6D" w14:textId="4AC1152F" w:rsidR="00FB53BF" w:rsidRPr="001B3AC0" w:rsidRDefault="00FB53BF">
      <w:pPr>
        <w:rPr>
          <w:rFonts w:cstheme="minorHAnsi"/>
          <w:sz w:val="24"/>
          <w:szCs w:val="24"/>
        </w:rPr>
      </w:pPr>
    </w:p>
    <w:p w14:paraId="66DCC355" w14:textId="77777777" w:rsidR="00FB53BF" w:rsidRPr="001B3AC0" w:rsidRDefault="00FB53BF" w:rsidP="00FB53BF">
      <w:pPr>
        <w:rPr>
          <w:rFonts w:eastAsia="Calibri" w:cstheme="minorHAnsi"/>
          <w:b/>
          <w:sz w:val="24"/>
          <w:szCs w:val="24"/>
          <w:u w:val="single"/>
        </w:rPr>
      </w:pPr>
      <w:r w:rsidRPr="001B3AC0">
        <w:rPr>
          <w:rFonts w:eastAsia="Calibri" w:cstheme="minorHAnsi"/>
          <w:noProof/>
          <w:sz w:val="24"/>
          <w:szCs w:val="24"/>
        </w:rPr>
        <mc:AlternateContent>
          <mc:Choice Requires="wps">
            <w:drawing>
              <wp:inline distT="0" distB="0" distL="0" distR="0" wp14:anchorId="11F2B790" wp14:editId="2778D78C">
                <wp:extent cx="5495925" cy="1562100"/>
                <wp:effectExtent l="19050" t="19050" r="28575" b="19050"/>
                <wp:docPr id="1" name="Rounded Rectangle 1"/>
                <wp:cNvGraphicFramePr/>
                <a:graphic xmlns:a="http://schemas.openxmlformats.org/drawingml/2006/main">
                  <a:graphicData uri="http://schemas.microsoft.com/office/word/2010/wordprocessingShape">
                    <wps:wsp>
                      <wps:cNvSpPr/>
                      <wps:spPr>
                        <a:xfrm>
                          <a:off x="0" y="0"/>
                          <a:ext cx="5495925" cy="1562100"/>
                        </a:xfrm>
                        <a:prstGeom prst="roundRect">
                          <a:avLst/>
                        </a:prstGeom>
                        <a:solidFill>
                          <a:srgbClr val="44546A">
                            <a:lumMod val="20000"/>
                            <a:lumOff val="80000"/>
                            <a:alpha val="49804"/>
                          </a:srgbClr>
                        </a:solidFill>
                        <a:ln w="28575">
                          <a:solidFill>
                            <a:srgbClr val="004990"/>
                          </a:solidFill>
                        </a:ln>
                        <a:effectLst/>
                      </wps:spPr>
                      <wps:txbx>
                        <w:txbxContent>
                          <w:p w14:paraId="278D37ED" w14:textId="77777777" w:rsidR="00FB53BF" w:rsidRPr="00FB53BF" w:rsidRDefault="00FB53BF" w:rsidP="00FB53BF">
                            <w:pPr>
                              <w:jc w:val="center"/>
                              <w:rPr>
                                <w:rFonts w:ascii="Bookman Old Style" w:hAnsi="Bookman Old Style"/>
                                <w:color w:val="000000"/>
                                <w:u w:val="single"/>
                              </w:rPr>
                            </w:pPr>
                            <w:r w:rsidRPr="00FB53BF">
                              <w:rPr>
                                <w:rFonts w:ascii="Bookman Old Style" w:hAnsi="Bookman Old Style"/>
                                <w:color w:val="000000"/>
                                <w:u w:val="single"/>
                              </w:rPr>
                              <w:t>Implementation strategies for the QI team</w:t>
                            </w:r>
                          </w:p>
                          <w:p w14:paraId="6FA7478D" w14:textId="77777777" w:rsidR="00FB53BF" w:rsidRPr="00FB53BF" w:rsidRDefault="00FB53BF" w:rsidP="00FB53BF">
                            <w:pPr>
                              <w:rPr>
                                <w:rFonts w:cs="Calibri"/>
                                <w:b/>
                                <w:color w:val="000000"/>
                                <w:sz w:val="20"/>
                                <w:szCs w:val="20"/>
                              </w:rPr>
                            </w:pPr>
                            <w:r w:rsidRPr="00FB53BF">
                              <w:rPr>
                                <w:rFonts w:cs="Calibri"/>
                                <w:b/>
                                <w:color w:val="000000"/>
                                <w:sz w:val="20"/>
                                <w:szCs w:val="20"/>
                              </w:rPr>
                              <w:t xml:space="preserve">Two pathways for implementation: </w:t>
                            </w:r>
                          </w:p>
                          <w:p w14:paraId="7F70DEDC" w14:textId="77777777" w:rsidR="00FB53BF" w:rsidRPr="00FB53BF" w:rsidRDefault="00FB53BF" w:rsidP="00FB53BF">
                            <w:pPr>
                              <w:numPr>
                                <w:ilvl w:val="0"/>
                                <w:numId w:val="4"/>
                              </w:numPr>
                              <w:rPr>
                                <w:rFonts w:cs="Calibri"/>
                                <w:b/>
                                <w:color w:val="000000"/>
                                <w:sz w:val="20"/>
                                <w:szCs w:val="20"/>
                              </w:rPr>
                            </w:pPr>
                            <w:r w:rsidRPr="00FB53BF">
                              <w:rPr>
                                <w:rFonts w:cs="Calibri"/>
                                <w:b/>
                                <w:color w:val="000000"/>
                                <w:sz w:val="20"/>
                                <w:szCs w:val="20"/>
                              </w:rPr>
                              <w:t>QI team works with Diversity science to assist with full integration of e-modules into the hospital/institution online electronic learning system</w:t>
                            </w:r>
                          </w:p>
                          <w:p w14:paraId="28229AD4" w14:textId="77777777" w:rsidR="00FB53BF" w:rsidRPr="00FB53BF" w:rsidRDefault="00FB53BF" w:rsidP="00FB53BF">
                            <w:pPr>
                              <w:numPr>
                                <w:ilvl w:val="0"/>
                                <w:numId w:val="4"/>
                              </w:numPr>
                              <w:rPr>
                                <w:rFonts w:cs="Calibri"/>
                                <w:b/>
                                <w:color w:val="000000"/>
                                <w:sz w:val="20"/>
                                <w:szCs w:val="20"/>
                              </w:rPr>
                            </w:pPr>
                            <w:r w:rsidRPr="00FB53BF">
                              <w:rPr>
                                <w:rFonts w:cs="Calibri"/>
                                <w:b/>
                                <w:color w:val="000000"/>
                                <w:sz w:val="20"/>
                                <w:szCs w:val="20"/>
                              </w:rPr>
                              <w:t xml:space="preserve"> QI team provides the “ILPQC Diversity Science Access Guide” to hospital staff members for access to ILPQC Diversity Science e-module trainings  </w:t>
                            </w:r>
                          </w:p>
                          <w:p w14:paraId="529A8910" w14:textId="77777777" w:rsidR="00FB53BF" w:rsidRPr="00FB53BF" w:rsidRDefault="00FB53BF" w:rsidP="00FB53BF">
                            <w:pPr>
                              <w:rPr>
                                <w:rFonts w:ascii="Century Gothic" w:hAnsi="Century Gothic"/>
                                <w:color w:val="000000"/>
                              </w:rPr>
                            </w:pPr>
                          </w:p>
                          <w:p w14:paraId="0D8900AF" w14:textId="77777777" w:rsidR="00FB53BF" w:rsidRDefault="00FB53BF" w:rsidP="00FB53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F2B790" id="Rounded Rectangle 1" o:spid="_x0000_s1026" style="width:432.75pt;height:1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" fillcolor="#d6dce5" strokecolor="#004990" strokeweight="2.25pt">
                <v:fill opacity="32639f"/>
                <v:textbox>
                  <w:txbxContent>
                    <w:p w14:paraId="278D37ED" w14:textId="77777777" w:rsidR="00FB53BF" w:rsidRPr="00FB53BF" w:rsidRDefault="00FB53BF" w:rsidP="00FB53BF">
                      <w:pPr>
                        <w:jc w:val="center"/>
                        <w:rPr>
                          <w:rFonts w:ascii="Bookman Old Style" w:hAnsi="Bookman Old Style"/>
                          <w:color w:val="000000"/>
                          <w:u w:val="single"/>
                        </w:rPr>
                      </w:pPr>
                      <w:r w:rsidRPr="00FB53BF">
                        <w:rPr>
                          <w:rFonts w:ascii="Bookman Old Style" w:hAnsi="Bookman Old Style"/>
                          <w:color w:val="000000"/>
                          <w:u w:val="single"/>
                        </w:rPr>
                        <w:t>Implementation strategies for the QI team</w:t>
                      </w:r>
                    </w:p>
                    <w:p w14:paraId="6FA7478D" w14:textId="77777777" w:rsidR="00FB53BF" w:rsidRPr="00FB53BF" w:rsidRDefault="00FB53BF" w:rsidP="00FB53BF">
                      <w:pPr>
                        <w:rPr>
                          <w:rFonts w:cs="Calibri"/>
                          <w:b/>
                          <w:color w:val="000000"/>
                          <w:sz w:val="20"/>
                          <w:szCs w:val="20"/>
                        </w:rPr>
                      </w:pPr>
                      <w:r w:rsidRPr="00FB53BF">
                        <w:rPr>
                          <w:rFonts w:cs="Calibri"/>
                          <w:b/>
                          <w:color w:val="000000"/>
                          <w:sz w:val="20"/>
                          <w:szCs w:val="20"/>
                        </w:rPr>
                        <w:t xml:space="preserve">Two pathways for implementation: </w:t>
                      </w:r>
                    </w:p>
                    <w:p w14:paraId="7F70DEDC" w14:textId="77777777" w:rsidR="00FB53BF" w:rsidRPr="00FB53BF" w:rsidRDefault="00FB53BF" w:rsidP="00FB53BF">
                      <w:pPr>
                        <w:numPr>
                          <w:ilvl w:val="0"/>
                          <w:numId w:val="4"/>
                        </w:numPr>
                        <w:rPr>
                          <w:rFonts w:cs="Calibri"/>
                          <w:b/>
                          <w:color w:val="000000"/>
                          <w:sz w:val="20"/>
                          <w:szCs w:val="20"/>
                        </w:rPr>
                      </w:pPr>
                      <w:r w:rsidRPr="00FB53BF">
                        <w:rPr>
                          <w:rFonts w:cs="Calibri"/>
                          <w:b/>
                          <w:color w:val="000000"/>
                          <w:sz w:val="20"/>
                          <w:szCs w:val="20"/>
                        </w:rPr>
                        <w:t>QI team works with Diversity science to assist with full integration of e-modules into the hospital/institution online electronic learning system</w:t>
                      </w:r>
                    </w:p>
                    <w:p w14:paraId="28229AD4" w14:textId="77777777" w:rsidR="00FB53BF" w:rsidRPr="00FB53BF" w:rsidRDefault="00FB53BF" w:rsidP="00FB53BF">
                      <w:pPr>
                        <w:numPr>
                          <w:ilvl w:val="0"/>
                          <w:numId w:val="4"/>
                        </w:numPr>
                        <w:rPr>
                          <w:rFonts w:cs="Calibri"/>
                          <w:b/>
                          <w:color w:val="000000"/>
                          <w:sz w:val="20"/>
                          <w:szCs w:val="20"/>
                        </w:rPr>
                      </w:pPr>
                      <w:r w:rsidRPr="00FB53BF">
                        <w:rPr>
                          <w:rFonts w:cs="Calibri"/>
                          <w:b/>
                          <w:color w:val="000000"/>
                          <w:sz w:val="20"/>
                          <w:szCs w:val="20"/>
                        </w:rPr>
                        <w:t xml:space="preserve"> QI team provides the “ILPQC Diversity Science Access Guide” to hospital staff members for access to ILPQC Diversity Science e-module trainings  </w:t>
                      </w:r>
                    </w:p>
                    <w:p w14:paraId="529A8910" w14:textId="77777777" w:rsidR="00FB53BF" w:rsidRPr="00FB53BF" w:rsidRDefault="00FB53BF" w:rsidP="00FB53BF">
                      <w:pPr>
                        <w:rPr>
                          <w:rFonts w:ascii="Century Gothic" w:hAnsi="Century Gothic"/>
                          <w:color w:val="000000"/>
                        </w:rPr>
                      </w:pPr>
                    </w:p>
                    <w:p w14:paraId="0D8900AF" w14:textId="77777777" w:rsidR="00FB53BF" w:rsidRDefault="00FB53BF" w:rsidP="00FB53BF"/>
                  </w:txbxContent>
                </v:textbox>
                <w10:anchorlock/>
              </v:roundrect>
            </w:pict>
          </mc:Fallback>
        </mc:AlternateContent>
      </w:r>
    </w:p>
    <w:p w14:paraId="3E3E77E9" w14:textId="4915F241" w:rsidR="00FB53BF" w:rsidRDefault="00FB53BF" w:rsidP="00FB53BF">
      <w:pPr>
        <w:jc w:val="center"/>
        <w:rPr>
          <w:rFonts w:eastAsia="Calibri" w:cstheme="minorHAnsi"/>
          <w:b/>
          <w:sz w:val="24"/>
          <w:szCs w:val="24"/>
          <w:u w:val="single"/>
        </w:rPr>
      </w:pPr>
    </w:p>
    <w:p w14:paraId="69FB857F" w14:textId="713D49D4" w:rsidR="000753CF" w:rsidRDefault="000753CF" w:rsidP="00FB53BF">
      <w:pPr>
        <w:jc w:val="center"/>
        <w:rPr>
          <w:rFonts w:eastAsia="Calibri" w:cstheme="minorHAnsi"/>
          <w:b/>
          <w:sz w:val="24"/>
          <w:szCs w:val="24"/>
          <w:u w:val="single"/>
        </w:rPr>
      </w:pPr>
    </w:p>
    <w:p w14:paraId="57462B0C" w14:textId="77777777" w:rsidR="000753CF" w:rsidRPr="001B3AC0" w:rsidRDefault="000753CF" w:rsidP="00FB53BF">
      <w:pPr>
        <w:jc w:val="center"/>
        <w:rPr>
          <w:rFonts w:eastAsia="Calibri" w:cstheme="minorHAnsi"/>
          <w:b/>
          <w:sz w:val="24"/>
          <w:szCs w:val="24"/>
          <w:u w:val="single"/>
        </w:rPr>
      </w:pPr>
    </w:p>
    <w:p w14:paraId="7D8AEBED" w14:textId="77777777" w:rsidR="00FB53BF" w:rsidRPr="00FB53BF" w:rsidRDefault="00FB53BF" w:rsidP="00FB53BF">
      <w:pPr>
        <w:jc w:val="center"/>
        <w:rPr>
          <w:rFonts w:eastAsia="Calibri" w:cstheme="minorHAnsi"/>
          <w:b/>
          <w:sz w:val="24"/>
          <w:szCs w:val="24"/>
          <w:u w:val="single"/>
        </w:rPr>
      </w:pPr>
      <w:r w:rsidRPr="00FB53BF">
        <w:rPr>
          <w:rFonts w:eastAsia="Calibri" w:cstheme="minorHAnsi"/>
          <w:b/>
          <w:sz w:val="24"/>
          <w:szCs w:val="24"/>
          <w:u w:val="single"/>
        </w:rPr>
        <w:lastRenderedPageBreak/>
        <w:t>Diversity Science Implicit Bias Training Registration &amp; Access</w:t>
      </w:r>
    </w:p>
    <w:p w14:paraId="5589CB79" w14:textId="1FA6479C" w:rsidR="00FB53BF" w:rsidRPr="00FB53BF" w:rsidRDefault="00FB53BF" w:rsidP="00FB53BF">
      <w:pPr>
        <w:ind w:left="720"/>
        <w:rPr>
          <w:rFonts w:eastAsia="Calibri" w:cstheme="minorHAnsi"/>
          <w:sz w:val="24"/>
          <w:szCs w:val="24"/>
        </w:rPr>
      </w:pPr>
      <w:r w:rsidRPr="00FB53BF">
        <w:rPr>
          <w:rFonts w:eastAsia="Calibri" w:cstheme="minorHAnsi"/>
          <w:sz w:val="24"/>
          <w:szCs w:val="24"/>
        </w:rPr>
        <w:t xml:space="preserve">Please use this access guide </w:t>
      </w:r>
      <w:r w:rsidR="000753CF">
        <w:rPr>
          <w:rFonts w:eastAsia="Calibri" w:cstheme="minorHAnsi"/>
          <w:sz w:val="24"/>
          <w:szCs w:val="24"/>
        </w:rPr>
        <w:t xml:space="preserve">to share information with your </w:t>
      </w:r>
      <w:r w:rsidRPr="00FB53BF">
        <w:rPr>
          <w:rFonts w:eastAsia="Calibri" w:cstheme="minorHAnsi"/>
          <w:sz w:val="24"/>
          <w:szCs w:val="24"/>
        </w:rPr>
        <w:t>hospital</w:t>
      </w:r>
      <w:r w:rsidR="000753CF">
        <w:rPr>
          <w:rFonts w:eastAsia="Calibri" w:cstheme="minorHAnsi"/>
          <w:sz w:val="24"/>
          <w:szCs w:val="24"/>
        </w:rPr>
        <w:t xml:space="preserve"> </w:t>
      </w:r>
      <w:r w:rsidRPr="00FB53BF">
        <w:rPr>
          <w:rFonts w:eastAsia="Calibri" w:cstheme="minorHAnsi"/>
          <w:sz w:val="24"/>
          <w:szCs w:val="24"/>
        </w:rPr>
        <w:t>s</w:t>
      </w:r>
      <w:r w:rsidR="000753CF">
        <w:rPr>
          <w:rFonts w:eastAsia="Calibri" w:cstheme="minorHAnsi"/>
          <w:sz w:val="24"/>
          <w:szCs w:val="24"/>
        </w:rPr>
        <w:t>taff, nurses, and providers.</w:t>
      </w:r>
      <w:r w:rsidRPr="00FB53BF">
        <w:rPr>
          <w:rFonts w:eastAsia="Calibri" w:cstheme="minorHAnsi"/>
          <w:sz w:val="24"/>
          <w:szCs w:val="24"/>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8"/>
        <w:gridCol w:w="3708"/>
      </w:tblGrid>
      <w:tr w:rsidR="00FB53BF" w:rsidRPr="00FB53BF" w14:paraId="73DFAA68" w14:textId="77777777" w:rsidTr="00274F53">
        <w:trPr>
          <w:trHeight w:val="1394"/>
          <w:jc w:val="center"/>
        </w:trPr>
        <w:tc>
          <w:tcPr>
            <w:tcW w:w="5868" w:type="dxa"/>
          </w:tcPr>
          <w:p w14:paraId="224FBBD9" w14:textId="77777777" w:rsidR="00FB53BF" w:rsidRPr="00FB53BF" w:rsidRDefault="00FB53BF" w:rsidP="00FB53BF">
            <w:pPr>
              <w:rPr>
                <w:rFonts w:cstheme="minorHAnsi"/>
              </w:rPr>
            </w:pPr>
          </w:p>
          <w:p w14:paraId="67E633F8" w14:textId="77777777" w:rsidR="00FB53BF" w:rsidRPr="00FB53BF" w:rsidRDefault="00FB53BF" w:rsidP="00FB53BF">
            <w:pPr>
              <w:rPr>
                <w:rFonts w:cstheme="minorHAnsi"/>
              </w:rPr>
            </w:pPr>
          </w:p>
          <w:p w14:paraId="05649D85" w14:textId="77777777" w:rsidR="00FB53BF" w:rsidRPr="00FB53BF" w:rsidRDefault="00FB53BF" w:rsidP="00FB53BF">
            <w:pPr>
              <w:numPr>
                <w:ilvl w:val="0"/>
                <w:numId w:val="5"/>
              </w:numPr>
              <w:contextualSpacing/>
              <w:rPr>
                <w:rFonts w:cstheme="minorHAnsi"/>
              </w:rPr>
            </w:pPr>
            <w:r w:rsidRPr="00FB53BF">
              <w:rPr>
                <w:rFonts w:cstheme="minorHAnsi"/>
              </w:rPr>
              <w:t xml:space="preserve">Access the Diversity Science </w:t>
            </w:r>
            <w:hyperlink r:id="rId9" w:history="1">
              <w:r w:rsidRPr="001B3AC0">
                <w:rPr>
                  <w:rFonts w:cstheme="minorHAnsi"/>
                  <w:color w:val="0563C1"/>
                  <w:u w:val="single"/>
                </w:rPr>
                <w:t>website</w:t>
              </w:r>
            </w:hyperlink>
          </w:p>
        </w:tc>
        <w:tc>
          <w:tcPr>
            <w:tcW w:w="3708" w:type="dxa"/>
          </w:tcPr>
          <w:p w14:paraId="7FFBA46B" w14:textId="77777777" w:rsidR="00FB53BF" w:rsidRPr="00FB53BF" w:rsidRDefault="00FB53BF" w:rsidP="00FB53BF">
            <w:pPr>
              <w:spacing w:before="240" w:after="240"/>
              <w:rPr>
                <w:rFonts w:cstheme="minorHAnsi"/>
              </w:rPr>
            </w:pPr>
            <w:r w:rsidRPr="00FB53BF">
              <w:rPr>
                <w:rFonts w:cstheme="minorHAnsi"/>
                <w:noProof/>
              </w:rPr>
              <w:drawing>
                <wp:anchor distT="0" distB="0" distL="114300" distR="114300" simplePos="0" relativeHeight="251663360" behindDoc="0" locked="0" layoutInCell="1" allowOverlap="1" wp14:anchorId="61F1CD3B" wp14:editId="145B3331">
                  <wp:simplePos x="0" y="0"/>
                  <wp:positionH relativeFrom="margin">
                    <wp:posOffset>431800</wp:posOffset>
                  </wp:positionH>
                  <wp:positionV relativeFrom="paragraph">
                    <wp:posOffset>366395</wp:posOffset>
                  </wp:positionV>
                  <wp:extent cx="1233170" cy="432435"/>
                  <wp:effectExtent l="25400" t="25400" r="36830" b="2476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0-19 at 1.44.48 PM.png"/>
                          <pic:cNvPicPr/>
                        </pic:nvPicPr>
                        <pic:blipFill rotWithShape="1">
                          <a:blip r:embed="rId10">
                            <a:extLst>
                              <a:ext uri="{28A0092B-C50C-407E-A947-70E740481C1C}">
                                <a14:useLocalDpi xmlns:a14="http://schemas.microsoft.com/office/drawing/2010/main" val="0"/>
                              </a:ext>
                            </a:extLst>
                          </a:blip>
                          <a:srcRect t="12403"/>
                          <a:stretch/>
                        </pic:blipFill>
                        <pic:spPr bwMode="auto">
                          <a:xfrm>
                            <a:off x="0" y="0"/>
                            <a:ext cx="1233170" cy="432435"/>
                          </a:xfrm>
                          <a:prstGeom prst="rect">
                            <a:avLst/>
                          </a:prstGeom>
                          <a:ln w="12700" cap="sq" cmpd="sng">
                            <a:solidFill>
                              <a:srgbClr val="000000"/>
                            </a:solidFill>
                            <a:prstDash val="solid"/>
                            <a:miter lim="800000"/>
                          </a:ln>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B53BF" w:rsidRPr="00FB53BF" w14:paraId="604432D3" w14:textId="77777777" w:rsidTr="00274F53">
        <w:trPr>
          <w:trHeight w:val="1674"/>
          <w:jc w:val="center"/>
        </w:trPr>
        <w:tc>
          <w:tcPr>
            <w:tcW w:w="5868" w:type="dxa"/>
          </w:tcPr>
          <w:p w14:paraId="66995CA1" w14:textId="0307FDF2" w:rsidR="00FB53BF" w:rsidRPr="00FB53BF" w:rsidRDefault="00FB53BF" w:rsidP="00FB53BF">
            <w:pPr>
              <w:numPr>
                <w:ilvl w:val="0"/>
                <w:numId w:val="5"/>
              </w:numPr>
              <w:spacing w:before="240" w:after="240"/>
              <w:contextualSpacing/>
              <w:rPr>
                <w:rFonts w:cstheme="minorHAnsi"/>
              </w:rPr>
            </w:pPr>
            <w:r w:rsidRPr="00FB53BF">
              <w:rPr>
                <w:rFonts w:cstheme="minorHAnsi"/>
              </w:rPr>
              <w:t xml:space="preserve">Hover over “Training” across the top of the page to access a </w:t>
            </w:r>
            <w:r w:rsidR="00FA0AE2" w:rsidRPr="00FB53BF">
              <w:rPr>
                <w:rFonts w:cstheme="minorHAnsi"/>
              </w:rPr>
              <w:t>drop-down</w:t>
            </w:r>
            <w:r w:rsidRPr="00FB53BF">
              <w:rPr>
                <w:rFonts w:cstheme="minorHAnsi"/>
              </w:rPr>
              <w:t xml:space="preserve"> menu. Click on </w:t>
            </w:r>
            <w:hyperlink r:id="rId11" w:history="1">
              <w:r w:rsidRPr="001B3AC0">
                <w:rPr>
                  <w:rFonts w:cstheme="minorHAnsi"/>
                  <w:color w:val="0563C1"/>
                  <w:u w:val="single"/>
                </w:rPr>
                <w:t>“Perinatal Health Care Equity (SB 464)”</w:t>
              </w:r>
            </w:hyperlink>
            <w:r w:rsidRPr="00FB53BF">
              <w:rPr>
                <w:rFonts w:cstheme="minorHAnsi"/>
              </w:rPr>
              <w:t xml:space="preserve"> </w:t>
            </w:r>
          </w:p>
        </w:tc>
        <w:tc>
          <w:tcPr>
            <w:tcW w:w="3708" w:type="dxa"/>
          </w:tcPr>
          <w:p w14:paraId="24836847" w14:textId="77777777" w:rsidR="00FB53BF" w:rsidRPr="00FB53BF" w:rsidRDefault="00FB53BF" w:rsidP="00FB53BF">
            <w:pPr>
              <w:spacing w:before="240" w:after="240"/>
              <w:jc w:val="center"/>
              <w:rPr>
                <w:rFonts w:cstheme="minorHAnsi"/>
              </w:rPr>
            </w:pPr>
            <w:r w:rsidRPr="00FB53BF">
              <w:rPr>
                <w:rFonts w:cstheme="minorHAnsi"/>
                <w:noProof/>
              </w:rPr>
              <w:drawing>
                <wp:inline distT="0" distB="0" distL="0" distR="0" wp14:anchorId="09C7A1B7" wp14:editId="4A93A4D3">
                  <wp:extent cx="700703" cy="774700"/>
                  <wp:effectExtent l="25400" t="25400" r="3619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0-19 at 2.12.0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0703" cy="774700"/>
                          </a:xfrm>
                          <a:prstGeom prst="rect">
                            <a:avLst/>
                          </a:prstGeom>
                          <a:ln w="12700" cap="sq" cmpd="sng">
                            <a:solidFill>
                              <a:srgbClr val="000000"/>
                            </a:solidFill>
                            <a:prstDash val="solid"/>
                            <a:miter lim="800000"/>
                          </a:ln>
                          <a:effectLst/>
                        </pic:spPr>
                      </pic:pic>
                    </a:graphicData>
                  </a:graphic>
                </wp:inline>
              </w:drawing>
            </w:r>
          </w:p>
        </w:tc>
      </w:tr>
      <w:tr w:rsidR="00FB53BF" w:rsidRPr="00FB53BF" w14:paraId="4E9C84DF" w14:textId="77777777" w:rsidTr="00274F53">
        <w:trPr>
          <w:trHeight w:val="1791"/>
          <w:jc w:val="center"/>
        </w:trPr>
        <w:tc>
          <w:tcPr>
            <w:tcW w:w="5868" w:type="dxa"/>
          </w:tcPr>
          <w:p w14:paraId="335EA9FC" w14:textId="77777777" w:rsidR="00FB53BF" w:rsidRPr="00FB53BF" w:rsidRDefault="00FB53BF" w:rsidP="00FB53BF">
            <w:pPr>
              <w:numPr>
                <w:ilvl w:val="0"/>
                <w:numId w:val="5"/>
              </w:numPr>
              <w:spacing w:before="240" w:after="240"/>
              <w:contextualSpacing/>
              <w:rPr>
                <w:rFonts w:cstheme="minorHAnsi"/>
              </w:rPr>
            </w:pPr>
            <w:r w:rsidRPr="00FB53BF">
              <w:rPr>
                <w:rFonts w:cstheme="minorHAnsi"/>
              </w:rPr>
              <w:t>Scroll to middle of the page. Complete “3 Easy Steps to Access Resources”</w:t>
            </w:r>
          </w:p>
        </w:tc>
        <w:tc>
          <w:tcPr>
            <w:tcW w:w="3708" w:type="dxa"/>
          </w:tcPr>
          <w:p w14:paraId="51AC0083" w14:textId="77777777" w:rsidR="00FB53BF" w:rsidRPr="00FB53BF" w:rsidRDefault="00FB53BF" w:rsidP="00FB53BF">
            <w:pPr>
              <w:spacing w:before="240" w:after="240"/>
              <w:jc w:val="center"/>
              <w:rPr>
                <w:rFonts w:cstheme="minorHAnsi"/>
              </w:rPr>
            </w:pPr>
            <w:r w:rsidRPr="00FB53BF">
              <w:rPr>
                <w:rFonts w:cstheme="minorHAnsi"/>
                <w:noProof/>
              </w:rPr>
              <w:drawing>
                <wp:inline distT="0" distB="0" distL="0" distR="0" wp14:anchorId="1D270719" wp14:editId="7D4818C1">
                  <wp:extent cx="2150533" cy="812883"/>
                  <wp:effectExtent l="25400" t="25400" r="34290"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0-19 at 1.59.21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0533" cy="812883"/>
                          </a:xfrm>
                          <a:prstGeom prst="rect">
                            <a:avLst/>
                          </a:prstGeom>
                          <a:ln w="12700" cap="sq" cmpd="sng">
                            <a:solidFill>
                              <a:srgbClr val="000000"/>
                            </a:solidFill>
                            <a:prstDash val="solid"/>
                            <a:miter lim="800000"/>
                          </a:ln>
                          <a:effectLst/>
                        </pic:spPr>
                      </pic:pic>
                    </a:graphicData>
                  </a:graphic>
                </wp:inline>
              </w:drawing>
            </w:r>
          </w:p>
        </w:tc>
      </w:tr>
      <w:tr w:rsidR="00FB53BF" w:rsidRPr="00FB53BF" w14:paraId="22E30E4D" w14:textId="77777777" w:rsidTr="00274F53">
        <w:trPr>
          <w:jc w:val="center"/>
        </w:trPr>
        <w:tc>
          <w:tcPr>
            <w:tcW w:w="5868" w:type="dxa"/>
          </w:tcPr>
          <w:p w14:paraId="65A22C56" w14:textId="77777777" w:rsidR="00FB53BF" w:rsidRPr="00FB53BF" w:rsidRDefault="00FB53BF" w:rsidP="00FB53BF">
            <w:pPr>
              <w:numPr>
                <w:ilvl w:val="0"/>
                <w:numId w:val="5"/>
              </w:numPr>
              <w:spacing w:before="240" w:after="240"/>
              <w:contextualSpacing/>
              <w:rPr>
                <w:rFonts w:cstheme="minorHAnsi"/>
              </w:rPr>
            </w:pPr>
            <w:r w:rsidRPr="00FB53BF">
              <w:rPr>
                <w:rFonts w:cstheme="minorHAnsi"/>
              </w:rPr>
              <w:t xml:space="preserve">Receive an email from </w:t>
            </w:r>
            <w:hyperlink r:id="rId14" w:history="1">
              <w:r w:rsidRPr="001B3AC0">
                <w:rPr>
                  <w:rFonts w:cstheme="minorHAnsi"/>
                  <w:color w:val="0563C1"/>
                  <w:u w:val="single"/>
                </w:rPr>
                <w:t>learning@diversityscience.org</w:t>
              </w:r>
            </w:hyperlink>
            <w:r w:rsidRPr="00FB53BF">
              <w:rPr>
                <w:rFonts w:cstheme="minorHAnsi"/>
              </w:rPr>
              <w:t xml:space="preserve"> with </w:t>
            </w:r>
            <w:proofErr w:type="gramStart"/>
            <w:r w:rsidRPr="00FB53BF">
              <w:rPr>
                <w:rFonts w:cstheme="minorHAnsi"/>
              </w:rPr>
              <w:t>user name</w:t>
            </w:r>
            <w:proofErr w:type="gramEnd"/>
            <w:r w:rsidRPr="00FB53BF">
              <w:rPr>
                <w:rFonts w:cstheme="minorHAnsi"/>
              </w:rPr>
              <w:t>, password, link to log in, and directions to proceed</w:t>
            </w:r>
          </w:p>
        </w:tc>
        <w:tc>
          <w:tcPr>
            <w:tcW w:w="3708" w:type="dxa"/>
          </w:tcPr>
          <w:p w14:paraId="198BCA78" w14:textId="77777777" w:rsidR="00FB53BF" w:rsidRPr="00FB53BF" w:rsidRDefault="00FB53BF" w:rsidP="00FB53BF">
            <w:pPr>
              <w:spacing w:before="240" w:after="240"/>
              <w:jc w:val="center"/>
              <w:rPr>
                <w:rFonts w:cstheme="minorHAnsi"/>
              </w:rPr>
            </w:pPr>
            <w:r w:rsidRPr="00FB53BF">
              <w:rPr>
                <w:rFonts w:cstheme="minorHAnsi"/>
                <w:noProof/>
              </w:rPr>
              <w:drawing>
                <wp:inline distT="0" distB="0" distL="0" distR="0" wp14:anchorId="51EA99AD" wp14:editId="30165B8A">
                  <wp:extent cx="610583" cy="673100"/>
                  <wp:effectExtent l="25400" t="25400" r="24765"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0-19 at 2.39.11 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41" cy="673384"/>
                          </a:xfrm>
                          <a:prstGeom prst="rect">
                            <a:avLst/>
                          </a:prstGeom>
                          <a:ln w="12700" cap="sq" cmpd="sng">
                            <a:solidFill>
                              <a:srgbClr val="000000"/>
                            </a:solidFill>
                            <a:prstDash val="solid"/>
                            <a:miter lim="800000"/>
                          </a:ln>
                          <a:effectLst/>
                        </pic:spPr>
                      </pic:pic>
                    </a:graphicData>
                  </a:graphic>
                </wp:inline>
              </w:drawing>
            </w:r>
          </w:p>
        </w:tc>
      </w:tr>
    </w:tbl>
    <w:p w14:paraId="7BA855FE" w14:textId="77777777" w:rsidR="00FB53BF" w:rsidRPr="00FB53BF" w:rsidRDefault="00FB53BF" w:rsidP="00FB53BF">
      <w:pPr>
        <w:rPr>
          <w:rFonts w:eastAsia="Calibri" w:cstheme="minorHAnsi"/>
          <w:sz w:val="24"/>
          <w:szCs w:val="24"/>
          <w:u w:val="single"/>
        </w:rPr>
      </w:pPr>
    </w:p>
    <w:p w14:paraId="03F7F00E" w14:textId="77777777" w:rsidR="00FB53BF" w:rsidRPr="00FB53BF" w:rsidRDefault="00FB53BF" w:rsidP="00FB53BF">
      <w:pPr>
        <w:rPr>
          <w:rFonts w:eastAsia="Calibri" w:cstheme="minorHAnsi"/>
          <w:sz w:val="24"/>
          <w:szCs w:val="24"/>
          <w:u w:val="single"/>
        </w:rPr>
      </w:pPr>
      <w:r w:rsidRPr="00FB53BF">
        <w:rPr>
          <w:rFonts w:eastAsia="Calibri" w:cstheme="minorHAnsi"/>
          <w:sz w:val="24"/>
          <w:szCs w:val="24"/>
          <w:u w:val="single"/>
        </w:rPr>
        <w:br w:type="page"/>
      </w:r>
    </w:p>
    <w:p w14:paraId="59C10973" w14:textId="77777777" w:rsidR="00FB53BF" w:rsidRPr="001B3AC0" w:rsidRDefault="00FB53BF" w:rsidP="00FB53BF">
      <w:pPr>
        <w:jc w:val="center"/>
        <w:rPr>
          <w:rFonts w:cstheme="minorHAnsi"/>
          <w:b/>
          <w:sz w:val="24"/>
          <w:szCs w:val="24"/>
          <w:u w:val="single"/>
        </w:rPr>
      </w:pPr>
      <w:r w:rsidRPr="001B3AC0">
        <w:rPr>
          <w:rFonts w:cstheme="minorHAnsi"/>
          <w:b/>
          <w:sz w:val="24"/>
          <w:szCs w:val="24"/>
          <w:u w:val="single"/>
        </w:rPr>
        <w:lastRenderedPageBreak/>
        <w:t>Diversity Science Access Guide for ILPQC Hospital Teams</w:t>
      </w:r>
    </w:p>
    <w:p w14:paraId="5D945BBD" w14:textId="77777777" w:rsidR="00FB53BF" w:rsidRPr="001B3AC0" w:rsidRDefault="00FB53BF" w:rsidP="00FB53BF">
      <w:pPr>
        <w:rPr>
          <w:rFonts w:cstheme="minorHAnsi"/>
          <w:b/>
          <w:sz w:val="24"/>
          <w:szCs w:val="24"/>
          <w:u w:val="single"/>
        </w:rPr>
      </w:pPr>
      <w:r w:rsidRPr="001B3AC0">
        <w:rPr>
          <w:rFonts w:cstheme="minorHAnsi"/>
          <w:b/>
          <w:sz w:val="24"/>
          <w:szCs w:val="24"/>
          <w:u w:val="single"/>
        </w:rPr>
        <w:t>About</w:t>
      </w:r>
    </w:p>
    <w:p w14:paraId="1F904F22" w14:textId="77777777" w:rsidR="00FB53BF" w:rsidRPr="001B3AC0" w:rsidRDefault="00FB53BF" w:rsidP="00FB53BF">
      <w:pPr>
        <w:rPr>
          <w:rFonts w:cstheme="minorHAnsi"/>
          <w:sz w:val="24"/>
          <w:szCs w:val="24"/>
        </w:rPr>
      </w:pPr>
      <w:r w:rsidRPr="001B3AC0">
        <w:rPr>
          <w:rFonts w:cstheme="minorHAnsi"/>
          <w:sz w:val="24"/>
          <w:szCs w:val="24"/>
        </w:rPr>
        <w:t xml:space="preserve">Diversity Science has developed a 3-module program specific to perinatal health that focuses on implicit bias and reproductive justice. These modules include resources for perinatal leaders and healthcare clinicians to promote health birth equity in clinical practice and their organization. Diversity Science is one of two e-module trainings that ILPQC recommends for hospital to consider for efforts related to their birth equity structure measure % of providers, nurses, and staff providing respectful care and addressing implicit bias. </w:t>
      </w:r>
    </w:p>
    <w:p w14:paraId="7E388D49" w14:textId="77777777" w:rsidR="00FB53BF" w:rsidRPr="001B3AC0" w:rsidRDefault="00FB53BF" w:rsidP="00FB53BF">
      <w:pPr>
        <w:rPr>
          <w:rFonts w:eastAsia="Calibri" w:cstheme="minorHAnsi"/>
          <w:sz w:val="24"/>
          <w:szCs w:val="24"/>
        </w:rPr>
      </w:pPr>
      <w:r w:rsidRPr="00FB53BF">
        <w:rPr>
          <w:rFonts w:eastAsia="Calibri" w:cstheme="minorHAnsi"/>
          <w:sz w:val="24"/>
          <w:szCs w:val="24"/>
        </w:rPr>
        <w:t xml:space="preserve">Worked collaboratively with ILPQC to develop a website that provides resources and a direct linkage to their perinatal health equity training course, Dignity in Pregnancy and Childbirth. The Dignity in Pregnancy and Childbirth Online training is a 3-module program for perinatal providers that focuses on implicit bias and reproductive justice. Resources for leaders and clinicians to promote health birth equity in their clinical practice and their organizations are also available. It is one bias and equity training recommended by ILPQC for hospital teams to meet </w:t>
      </w:r>
      <w:r w:rsidRPr="00FB53BF">
        <w:rPr>
          <w:rFonts w:eastAsia="Calibri" w:cstheme="minorHAnsi"/>
          <w:b/>
          <w:bCs/>
          <w:i/>
          <w:sz w:val="24"/>
          <w:szCs w:val="24"/>
        </w:rPr>
        <w:t>Birth Equity Driver 4</w:t>
      </w:r>
      <w:r w:rsidRPr="00FB53BF">
        <w:rPr>
          <w:rFonts w:eastAsia="Calibri" w:cstheme="minorHAnsi"/>
          <w:sz w:val="24"/>
          <w:szCs w:val="24"/>
        </w:rPr>
        <w:t xml:space="preserve"> strategies.</w:t>
      </w:r>
    </w:p>
    <w:p w14:paraId="5A9123BA" w14:textId="77777777" w:rsidR="00FB53BF" w:rsidRPr="001B3AC0" w:rsidRDefault="00FB53BF" w:rsidP="00FB53BF">
      <w:pPr>
        <w:rPr>
          <w:rFonts w:cstheme="minorHAnsi"/>
          <w:b/>
          <w:sz w:val="24"/>
          <w:szCs w:val="24"/>
          <w:u w:val="single"/>
        </w:rPr>
      </w:pPr>
      <w:r w:rsidRPr="001B3AC0">
        <w:rPr>
          <w:rFonts w:cstheme="minorHAnsi"/>
          <w:b/>
          <w:sz w:val="24"/>
          <w:szCs w:val="24"/>
          <w:u w:val="single"/>
        </w:rPr>
        <w:t>Resource Hub</w:t>
      </w:r>
    </w:p>
    <w:p w14:paraId="0D147A4E" w14:textId="16450022" w:rsidR="00FB53BF" w:rsidRPr="001B3AC0" w:rsidRDefault="00FB53BF" w:rsidP="00FB53BF">
      <w:pPr>
        <w:rPr>
          <w:rFonts w:cstheme="minorHAnsi"/>
          <w:sz w:val="24"/>
          <w:szCs w:val="24"/>
        </w:rPr>
      </w:pPr>
      <w:r w:rsidRPr="001B3AC0">
        <w:rPr>
          <w:rFonts w:cstheme="minorHAnsi"/>
          <w:sz w:val="24"/>
          <w:szCs w:val="24"/>
        </w:rPr>
        <w:t>ILPQC has partnered with Diversity Science to provide exclusive online access to their e-modules and</w:t>
      </w:r>
      <w:r w:rsidR="00611552">
        <w:rPr>
          <w:rFonts w:cstheme="minorHAnsi"/>
          <w:sz w:val="24"/>
          <w:szCs w:val="24"/>
        </w:rPr>
        <w:t xml:space="preserve"> materials.</w:t>
      </w:r>
      <w:r w:rsidR="00DB00C7">
        <w:rPr>
          <w:rFonts w:cstheme="minorHAnsi"/>
          <w:sz w:val="24"/>
          <w:szCs w:val="24"/>
        </w:rPr>
        <w:t xml:space="preserve"> </w:t>
      </w:r>
      <w:r w:rsidRPr="001B3AC0">
        <w:rPr>
          <w:rFonts w:cstheme="minorHAnsi"/>
          <w:sz w:val="24"/>
          <w:szCs w:val="24"/>
        </w:rPr>
        <w:t xml:space="preserve">This access is available to all ILPQC hospital teams participating in the Birth Equity Initiative and includes: </w:t>
      </w:r>
    </w:p>
    <w:p w14:paraId="65A4ACBE" w14:textId="2FDF36E3" w:rsidR="00FB53BF" w:rsidRPr="001B3AC0" w:rsidRDefault="00490361" w:rsidP="00FB53BF">
      <w:pPr>
        <w:numPr>
          <w:ilvl w:val="0"/>
          <w:numId w:val="6"/>
        </w:numPr>
        <w:rPr>
          <w:rFonts w:cstheme="minorHAnsi"/>
          <w:sz w:val="24"/>
          <w:szCs w:val="24"/>
        </w:rPr>
      </w:pPr>
      <w:r>
        <w:rPr>
          <w:rFonts w:cstheme="minorHAnsi"/>
          <w:sz w:val="24"/>
          <w:szCs w:val="24"/>
        </w:rPr>
        <w:t>Access to online e-modules and training resources</w:t>
      </w:r>
    </w:p>
    <w:p w14:paraId="7983EDE1" w14:textId="5A9C0E58" w:rsidR="00FB53BF" w:rsidRPr="001B3AC0" w:rsidRDefault="00490361" w:rsidP="00FB53BF">
      <w:pPr>
        <w:numPr>
          <w:ilvl w:val="0"/>
          <w:numId w:val="6"/>
        </w:numPr>
        <w:rPr>
          <w:rFonts w:cstheme="minorHAnsi"/>
          <w:sz w:val="24"/>
          <w:szCs w:val="24"/>
        </w:rPr>
      </w:pPr>
      <w:r>
        <w:rPr>
          <w:rFonts w:cstheme="minorHAnsi"/>
          <w:sz w:val="24"/>
          <w:szCs w:val="24"/>
        </w:rPr>
        <w:t>1:1 e-module integration support</w:t>
      </w:r>
    </w:p>
    <w:p w14:paraId="5549D06A" w14:textId="6DBF2FDC" w:rsidR="00FB53BF" w:rsidRPr="001B3AC0" w:rsidRDefault="00490361" w:rsidP="00FB53BF">
      <w:pPr>
        <w:numPr>
          <w:ilvl w:val="0"/>
          <w:numId w:val="6"/>
        </w:numPr>
        <w:rPr>
          <w:rFonts w:cstheme="minorHAnsi"/>
          <w:sz w:val="24"/>
          <w:szCs w:val="24"/>
        </w:rPr>
      </w:pPr>
      <w:r>
        <w:rPr>
          <w:rFonts w:cstheme="minorHAnsi"/>
          <w:sz w:val="24"/>
          <w:szCs w:val="24"/>
        </w:rPr>
        <w:t>Technical support</w:t>
      </w:r>
    </w:p>
    <w:p w14:paraId="0BCD6022" w14:textId="77777777" w:rsidR="00FB53BF" w:rsidRPr="001B3AC0" w:rsidRDefault="00FB53BF" w:rsidP="00FB53BF">
      <w:pPr>
        <w:rPr>
          <w:rFonts w:cstheme="minorHAnsi"/>
          <w:b/>
          <w:sz w:val="24"/>
          <w:szCs w:val="24"/>
          <w:u w:val="single"/>
        </w:rPr>
      </w:pPr>
      <w:r w:rsidRPr="001B3AC0">
        <w:rPr>
          <w:rFonts w:cstheme="minorHAnsi"/>
          <w:b/>
          <w:sz w:val="24"/>
          <w:szCs w:val="24"/>
          <w:u w:val="single"/>
        </w:rPr>
        <w:t>Member Support</w:t>
      </w:r>
    </w:p>
    <w:p w14:paraId="60EDA1DC" w14:textId="4BEED8CD" w:rsidR="00FB53BF" w:rsidRPr="001B3AC0" w:rsidRDefault="00FB53BF" w:rsidP="00FB53BF">
      <w:pPr>
        <w:rPr>
          <w:rFonts w:cstheme="minorHAnsi"/>
          <w:sz w:val="24"/>
          <w:szCs w:val="24"/>
        </w:rPr>
      </w:pPr>
      <w:r w:rsidRPr="001B3AC0">
        <w:rPr>
          <w:rFonts w:cstheme="minorHAnsi"/>
          <w:sz w:val="24"/>
          <w:szCs w:val="24"/>
        </w:rPr>
        <w:t>Diversity Science provides direct support in the form of emails and calls to facilitate access to the resources included on the resource hub.</w:t>
      </w:r>
      <w:r w:rsidR="00DB00C7">
        <w:rPr>
          <w:rFonts w:cstheme="minorHAnsi"/>
          <w:sz w:val="24"/>
          <w:szCs w:val="24"/>
        </w:rPr>
        <w:t xml:space="preserve"> </w:t>
      </w:r>
      <w:r w:rsidRPr="001B3AC0">
        <w:rPr>
          <w:rFonts w:cstheme="minorHAnsi"/>
          <w:sz w:val="24"/>
          <w:szCs w:val="24"/>
        </w:rPr>
        <w:t>This includes:</w:t>
      </w:r>
    </w:p>
    <w:p w14:paraId="176766E4" w14:textId="77777777" w:rsidR="00FB53BF" w:rsidRPr="001B3AC0" w:rsidRDefault="00FB53BF" w:rsidP="00FB53BF">
      <w:pPr>
        <w:numPr>
          <w:ilvl w:val="0"/>
          <w:numId w:val="8"/>
        </w:numPr>
        <w:rPr>
          <w:rFonts w:cstheme="minorHAnsi"/>
          <w:sz w:val="24"/>
          <w:szCs w:val="24"/>
        </w:rPr>
      </w:pPr>
      <w:r w:rsidRPr="001B3AC0">
        <w:rPr>
          <w:rFonts w:cstheme="minorHAnsi"/>
          <w:sz w:val="24"/>
          <w:szCs w:val="24"/>
        </w:rPr>
        <w:t>Responding to requests for access to resources through registration form</w:t>
      </w:r>
    </w:p>
    <w:p w14:paraId="74E2F6DE" w14:textId="36DA1A14" w:rsidR="00FB53BF" w:rsidRPr="001B3AC0" w:rsidRDefault="00FB53BF" w:rsidP="00FB53BF">
      <w:pPr>
        <w:numPr>
          <w:ilvl w:val="0"/>
          <w:numId w:val="8"/>
        </w:numPr>
        <w:rPr>
          <w:rFonts w:cstheme="minorHAnsi"/>
          <w:sz w:val="24"/>
          <w:szCs w:val="24"/>
        </w:rPr>
      </w:pPr>
      <w:r w:rsidRPr="001B3AC0">
        <w:rPr>
          <w:rFonts w:cstheme="minorHAnsi"/>
          <w:sz w:val="24"/>
          <w:szCs w:val="24"/>
        </w:rPr>
        <w:t xml:space="preserve">Email and phone support for members who may be stuck and require assistance or clarification before accessing resources. Support is available </w:t>
      </w:r>
      <w:r w:rsidR="00682777">
        <w:rPr>
          <w:rFonts w:cstheme="minorHAnsi"/>
          <w:sz w:val="24"/>
          <w:szCs w:val="24"/>
        </w:rPr>
        <w:t>10</w:t>
      </w:r>
      <w:r w:rsidRPr="001B3AC0">
        <w:rPr>
          <w:rFonts w:cstheme="minorHAnsi"/>
          <w:sz w:val="24"/>
          <w:szCs w:val="24"/>
        </w:rPr>
        <w:t>-</w:t>
      </w:r>
      <w:r w:rsidR="00682777">
        <w:rPr>
          <w:rFonts w:cstheme="minorHAnsi"/>
          <w:sz w:val="24"/>
          <w:szCs w:val="24"/>
        </w:rPr>
        <w:t>6</w:t>
      </w:r>
      <w:r w:rsidRPr="001B3AC0">
        <w:rPr>
          <w:rFonts w:cstheme="minorHAnsi"/>
          <w:sz w:val="24"/>
          <w:szCs w:val="24"/>
        </w:rPr>
        <w:t xml:space="preserve">pm </w:t>
      </w:r>
      <w:r w:rsidR="00682777">
        <w:rPr>
          <w:rFonts w:cstheme="minorHAnsi"/>
          <w:sz w:val="24"/>
          <w:szCs w:val="24"/>
        </w:rPr>
        <w:t>CS</w:t>
      </w:r>
      <w:r w:rsidRPr="001B3AC0">
        <w:rPr>
          <w:rFonts w:cstheme="minorHAnsi"/>
          <w:sz w:val="24"/>
          <w:szCs w:val="24"/>
        </w:rPr>
        <w:t>T M-F</w:t>
      </w:r>
      <w:r w:rsidR="00611552">
        <w:rPr>
          <w:rFonts w:cstheme="minorHAnsi"/>
          <w:sz w:val="24"/>
          <w:szCs w:val="24"/>
        </w:rPr>
        <w:t>.</w:t>
      </w:r>
    </w:p>
    <w:p w14:paraId="505F209F" w14:textId="77777777" w:rsidR="00611552" w:rsidRDefault="00611552" w:rsidP="00FB53BF">
      <w:pPr>
        <w:rPr>
          <w:rFonts w:cstheme="minorHAnsi"/>
          <w:b/>
          <w:sz w:val="24"/>
          <w:szCs w:val="24"/>
          <w:u w:val="single"/>
        </w:rPr>
      </w:pPr>
    </w:p>
    <w:p w14:paraId="1E132304" w14:textId="77777777" w:rsidR="00611552" w:rsidRDefault="00611552" w:rsidP="00FB53BF">
      <w:pPr>
        <w:rPr>
          <w:rFonts w:cstheme="minorHAnsi"/>
          <w:b/>
          <w:sz w:val="24"/>
          <w:szCs w:val="24"/>
          <w:u w:val="single"/>
        </w:rPr>
      </w:pPr>
    </w:p>
    <w:p w14:paraId="42258BC6" w14:textId="6C734B0D" w:rsidR="00FB53BF" w:rsidRPr="001B3AC0" w:rsidRDefault="00FB53BF" w:rsidP="00FB53BF">
      <w:pPr>
        <w:rPr>
          <w:rFonts w:cstheme="minorHAnsi"/>
          <w:b/>
          <w:sz w:val="24"/>
          <w:szCs w:val="24"/>
          <w:u w:val="single"/>
        </w:rPr>
      </w:pPr>
      <w:r w:rsidRPr="001B3AC0">
        <w:rPr>
          <w:rFonts w:cstheme="minorHAnsi"/>
          <w:b/>
          <w:sz w:val="24"/>
          <w:szCs w:val="24"/>
          <w:u w:val="single"/>
        </w:rPr>
        <w:t>Technical Support</w:t>
      </w:r>
    </w:p>
    <w:p w14:paraId="356FFEC7" w14:textId="65366FF4" w:rsidR="00FB53BF" w:rsidRPr="001B3AC0" w:rsidRDefault="00FB53BF" w:rsidP="00FB53BF">
      <w:pPr>
        <w:rPr>
          <w:rFonts w:cstheme="minorHAnsi"/>
          <w:sz w:val="24"/>
          <w:szCs w:val="24"/>
        </w:rPr>
      </w:pPr>
      <w:r w:rsidRPr="001B3AC0">
        <w:rPr>
          <w:rFonts w:cstheme="minorHAnsi"/>
          <w:sz w:val="24"/>
          <w:szCs w:val="24"/>
        </w:rPr>
        <w:lastRenderedPageBreak/>
        <w:t>Most ILPQC members will access the online training by loading the course files onto their learning management system.</w:t>
      </w:r>
      <w:r w:rsidR="00DB00C7">
        <w:rPr>
          <w:rFonts w:cstheme="minorHAnsi"/>
          <w:sz w:val="24"/>
          <w:szCs w:val="24"/>
        </w:rPr>
        <w:t xml:space="preserve"> </w:t>
      </w:r>
      <w:r w:rsidRPr="001B3AC0">
        <w:rPr>
          <w:rFonts w:cstheme="minorHAnsi"/>
          <w:sz w:val="24"/>
          <w:szCs w:val="24"/>
        </w:rPr>
        <w:t>These courses are provided as SCORM files which are compatible with industry standard learning management systems.</w:t>
      </w:r>
      <w:r w:rsidR="00DB00C7">
        <w:rPr>
          <w:rFonts w:cstheme="minorHAnsi"/>
          <w:sz w:val="24"/>
          <w:szCs w:val="24"/>
        </w:rPr>
        <w:t xml:space="preserve"> </w:t>
      </w:r>
      <w:r w:rsidRPr="001B3AC0">
        <w:rPr>
          <w:rFonts w:cstheme="minorHAnsi"/>
          <w:sz w:val="24"/>
          <w:szCs w:val="24"/>
        </w:rPr>
        <w:t>Diversity Science will provide technical assistance with teams on an as needed basis.</w:t>
      </w:r>
      <w:r w:rsidR="00DB00C7">
        <w:rPr>
          <w:rFonts w:cstheme="minorHAnsi"/>
          <w:sz w:val="24"/>
          <w:szCs w:val="24"/>
        </w:rPr>
        <w:t xml:space="preserve"> </w:t>
      </w:r>
      <w:r w:rsidRPr="001B3AC0">
        <w:rPr>
          <w:rFonts w:cstheme="minorHAnsi"/>
          <w:sz w:val="24"/>
          <w:szCs w:val="24"/>
        </w:rPr>
        <w:t xml:space="preserve">This service is provided by their instructional design team, and usual resolution times for technical support are 3-5 business days. </w:t>
      </w:r>
    </w:p>
    <w:p w14:paraId="248DD596" w14:textId="77777777" w:rsidR="00FB53BF" w:rsidRPr="001B3AC0" w:rsidRDefault="00FB53BF" w:rsidP="00FB53BF">
      <w:pPr>
        <w:rPr>
          <w:rFonts w:cstheme="minorHAnsi"/>
          <w:i/>
          <w:iCs/>
          <w:sz w:val="24"/>
          <w:szCs w:val="24"/>
        </w:rPr>
      </w:pPr>
      <w:commentRangeStart w:id="0"/>
      <w:r w:rsidRPr="001B3AC0">
        <w:rPr>
          <w:rFonts w:cstheme="minorHAnsi"/>
          <w:i/>
          <w:iCs/>
          <w:sz w:val="24"/>
          <w:szCs w:val="24"/>
        </w:rPr>
        <w:t xml:space="preserve">If you need member or technical support, please contact the Emily Ruff by phone or email: </w:t>
      </w:r>
    </w:p>
    <w:p w14:paraId="7047A54B" w14:textId="77777777" w:rsidR="00FB53BF" w:rsidRPr="001B3AC0" w:rsidRDefault="00FB53BF" w:rsidP="00FB53BF">
      <w:pPr>
        <w:numPr>
          <w:ilvl w:val="0"/>
          <w:numId w:val="7"/>
        </w:numPr>
        <w:rPr>
          <w:rFonts w:cstheme="minorHAnsi"/>
          <w:sz w:val="24"/>
          <w:szCs w:val="24"/>
        </w:rPr>
      </w:pPr>
      <w:r w:rsidRPr="001B3AC0">
        <w:rPr>
          <w:rFonts w:cstheme="minorHAnsi"/>
          <w:b/>
          <w:bCs/>
          <w:sz w:val="24"/>
          <w:szCs w:val="24"/>
        </w:rPr>
        <w:t>Phone:</w:t>
      </w:r>
      <w:r w:rsidRPr="001B3AC0">
        <w:rPr>
          <w:rFonts w:cstheme="minorHAnsi"/>
          <w:sz w:val="24"/>
          <w:szCs w:val="24"/>
        </w:rPr>
        <w:t xml:space="preserve"> (216) 906 9656</w:t>
      </w:r>
    </w:p>
    <w:p w14:paraId="079D2B3B" w14:textId="77777777" w:rsidR="00FB53BF" w:rsidRPr="001B3AC0" w:rsidRDefault="00FB53BF" w:rsidP="00FB53BF">
      <w:pPr>
        <w:numPr>
          <w:ilvl w:val="0"/>
          <w:numId w:val="7"/>
        </w:numPr>
        <w:rPr>
          <w:rFonts w:cstheme="minorHAnsi"/>
          <w:sz w:val="24"/>
          <w:szCs w:val="24"/>
        </w:rPr>
      </w:pPr>
      <w:r w:rsidRPr="001B3AC0">
        <w:rPr>
          <w:rFonts w:cstheme="minorHAnsi"/>
          <w:b/>
          <w:bCs/>
          <w:sz w:val="24"/>
          <w:szCs w:val="24"/>
        </w:rPr>
        <w:t>Email:</w:t>
      </w:r>
      <w:r w:rsidRPr="001B3AC0">
        <w:rPr>
          <w:rFonts w:cstheme="minorHAnsi"/>
          <w:sz w:val="24"/>
          <w:szCs w:val="24"/>
        </w:rPr>
        <w:t xml:space="preserve"> Emily@diversityscience.org</w:t>
      </w:r>
      <w:commentRangeEnd w:id="0"/>
      <w:r w:rsidRPr="001B3AC0">
        <w:rPr>
          <w:rStyle w:val="CommentReference"/>
          <w:rFonts w:cstheme="minorHAnsi"/>
          <w:sz w:val="24"/>
          <w:szCs w:val="24"/>
        </w:rPr>
        <w:commentReference w:id="0"/>
      </w:r>
    </w:p>
    <w:tbl>
      <w:tblPr>
        <w:tblW w:w="9576" w:type="dxa"/>
        <w:jc w:val="center"/>
        <w:tblBorders>
          <w:top w:val="nil"/>
          <w:left w:val="nil"/>
          <w:bottom w:val="nil"/>
          <w:right w:val="nil"/>
          <w:insideH w:val="nil"/>
          <w:insideV w:val="nil"/>
        </w:tblBorders>
        <w:tblLayout w:type="fixed"/>
        <w:tblLook w:val="0400" w:firstRow="0" w:lastRow="0" w:firstColumn="0" w:lastColumn="0" w:noHBand="0" w:noVBand="1"/>
      </w:tblPr>
      <w:tblGrid>
        <w:gridCol w:w="9576"/>
      </w:tblGrid>
      <w:tr w:rsidR="00FB53BF" w:rsidRPr="001B3AC0" w14:paraId="73F92C7D" w14:textId="77777777" w:rsidTr="00274F53">
        <w:trPr>
          <w:jc w:val="center"/>
        </w:trPr>
        <w:tc>
          <w:tcPr>
            <w:tcW w:w="9576" w:type="dxa"/>
          </w:tcPr>
          <w:p w14:paraId="46D968B7" w14:textId="77777777" w:rsidR="00611552" w:rsidRDefault="00611552" w:rsidP="00FB53BF">
            <w:pPr>
              <w:jc w:val="center"/>
              <w:rPr>
                <w:rFonts w:cstheme="minorHAnsi"/>
                <w:b/>
                <w:sz w:val="24"/>
                <w:szCs w:val="24"/>
                <w:u w:val="single"/>
              </w:rPr>
            </w:pPr>
          </w:p>
          <w:p w14:paraId="33902903" w14:textId="5F331C81" w:rsidR="00FB53BF" w:rsidRPr="001B3AC0" w:rsidRDefault="00FB53BF" w:rsidP="00FB53BF">
            <w:pPr>
              <w:jc w:val="center"/>
              <w:rPr>
                <w:rFonts w:cstheme="minorHAnsi"/>
                <w:b/>
                <w:sz w:val="24"/>
                <w:szCs w:val="24"/>
                <w:u w:val="single"/>
              </w:rPr>
            </w:pPr>
            <w:r w:rsidRPr="001B3AC0">
              <w:rPr>
                <w:rFonts w:cstheme="minorHAnsi"/>
                <w:b/>
                <w:sz w:val="24"/>
                <w:szCs w:val="24"/>
                <w:u w:val="single"/>
              </w:rPr>
              <w:t>Deeper Dive into Diversity Science Implicit Bias Training</w:t>
            </w:r>
          </w:p>
          <w:p w14:paraId="3C8222DE" w14:textId="77777777" w:rsidR="00FB53BF" w:rsidRPr="001B3AC0" w:rsidRDefault="00FB53BF" w:rsidP="00FB53BF">
            <w:pPr>
              <w:rPr>
                <w:rFonts w:cstheme="minorHAnsi"/>
                <w:i/>
                <w:sz w:val="24"/>
                <w:szCs w:val="24"/>
              </w:rPr>
            </w:pPr>
            <w:r w:rsidRPr="001B3AC0">
              <w:rPr>
                <w:rFonts w:cstheme="minorHAnsi"/>
                <w:i/>
                <w:sz w:val="24"/>
                <w:szCs w:val="24"/>
              </w:rPr>
              <w:t>Program Contents: 3 Modules &amp; Optional eLearning modules for BIPOC providers</w:t>
            </w:r>
          </w:p>
          <w:p w14:paraId="67808320" w14:textId="77777777" w:rsidR="00FB53BF" w:rsidRPr="001B3AC0" w:rsidRDefault="00FB53BF" w:rsidP="00FB53BF">
            <w:pPr>
              <w:rPr>
                <w:rFonts w:cstheme="minorHAnsi"/>
                <w:sz w:val="24"/>
                <w:szCs w:val="24"/>
              </w:rPr>
            </w:pPr>
            <w:r w:rsidRPr="001B3AC0">
              <w:rPr>
                <w:rFonts w:cstheme="minorHAnsi"/>
                <w:b/>
                <w:sz w:val="24"/>
                <w:szCs w:val="24"/>
                <w:u w:val="single"/>
              </w:rPr>
              <w:t>Module 1</w:t>
            </w:r>
            <w:r w:rsidRPr="001B3AC0">
              <w:rPr>
                <w:rFonts w:cstheme="minorHAnsi"/>
                <w:b/>
                <w:sz w:val="24"/>
                <w:szCs w:val="24"/>
              </w:rPr>
              <w:t>:</w:t>
            </w:r>
            <w:r w:rsidRPr="001B3AC0">
              <w:rPr>
                <w:rFonts w:cstheme="minorHAnsi"/>
                <w:sz w:val="24"/>
                <w:szCs w:val="24"/>
              </w:rPr>
              <w:t xml:space="preserve"> Dignity in Pregnancy and Childbirth: Part 1 Laying the Groundwork (≈30 min) </w:t>
            </w:r>
          </w:p>
          <w:p w14:paraId="483352B8" w14:textId="77777777" w:rsidR="00FB53BF" w:rsidRPr="001B3AC0" w:rsidRDefault="00FB53BF" w:rsidP="00FB53BF">
            <w:pPr>
              <w:rPr>
                <w:rFonts w:cstheme="minorHAnsi"/>
                <w:sz w:val="24"/>
                <w:szCs w:val="24"/>
              </w:rPr>
            </w:pPr>
            <w:r w:rsidRPr="001B3AC0">
              <w:rPr>
                <w:rFonts w:cstheme="minorHAnsi"/>
                <w:sz w:val="24"/>
                <w:szCs w:val="24"/>
              </w:rPr>
              <w:t>Part 1 - empowers perinatal care providers with the knowledge and insight they need to close the gap; to align their values on high-quality, unbiased, equitable, and respectful care with the actual care that many Black birthing women receive.</w:t>
            </w:r>
          </w:p>
        </w:tc>
      </w:tr>
      <w:tr w:rsidR="00FB53BF" w:rsidRPr="001B3AC0" w14:paraId="1FAA501A" w14:textId="77777777" w:rsidTr="00274F53">
        <w:trPr>
          <w:jc w:val="center"/>
        </w:trPr>
        <w:tc>
          <w:tcPr>
            <w:tcW w:w="9576" w:type="dxa"/>
          </w:tcPr>
          <w:p w14:paraId="392CBAD6" w14:textId="77777777" w:rsidR="00FB53BF" w:rsidRPr="001B3AC0" w:rsidRDefault="00FB53BF" w:rsidP="00FB53BF">
            <w:pPr>
              <w:rPr>
                <w:rFonts w:cstheme="minorHAnsi"/>
                <w:sz w:val="24"/>
                <w:szCs w:val="24"/>
              </w:rPr>
            </w:pPr>
            <w:r w:rsidRPr="001B3AC0">
              <w:rPr>
                <w:rFonts w:cstheme="minorHAnsi"/>
                <w:b/>
                <w:sz w:val="24"/>
                <w:szCs w:val="24"/>
                <w:u w:val="single"/>
              </w:rPr>
              <w:t>Module 2</w:t>
            </w:r>
            <w:r w:rsidRPr="001B3AC0">
              <w:rPr>
                <w:rFonts w:cstheme="minorHAnsi"/>
                <w:sz w:val="24"/>
                <w:szCs w:val="24"/>
              </w:rPr>
              <w:t xml:space="preserve">: Dignity in Pregnancy and Childbirth: Part 2 Racism not Race (≈30 min) </w:t>
            </w:r>
          </w:p>
          <w:p w14:paraId="04086E4D" w14:textId="77777777" w:rsidR="00FB53BF" w:rsidRPr="001B3AC0" w:rsidRDefault="00FB53BF" w:rsidP="00FB53BF">
            <w:pPr>
              <w:rPr>
                <w:rFonts w:cstheme="minorHAnsi"/>
                <w:sz w:val="24"/>
                <w:szCs w:val="24"/>
              </w:rPr>
            </w:pPr>
            <w:r w:rsidRPr="001B3AC0">
              <w:rPr>
                <w:rFonts w:cstheme="minorHAnsi"/>
                <w:sz w:val="24"/>
                <w:szCs w:val="24"/>
              </w:rPr>
              <w:t xml:space="preserve">Part 2 - focuses on how racism in </w:t>
            </w:r>
            <w:proofErr w:type="gramStart"/>
            <w:r w:rsidRPr="001B3AC0">
              <w:rPr>
                <w:rFonts w:cstheme="minorHAnsi"/>
                <w:sz w:val="24"/>
                <w:szCs w:val="24"/>
              </w:rPr>
              <w:t>all of</w:t>
            </w:r>
            <w:proofErr w:type="gramEnd"/>
            <w:r w:rsidRPr="001B3AC0">
              <w:rPr>
                <w:rFonts w:cstheme="minorHAnsi"/>
                <w:sz w:val="24"/>
                <w:szCs w:val="24"/>
              </w:rPr>
              <w:t xml:space="preserve"> its forms impacts the care given to Black patients and strategies that work with our brains to interrupt racism in perinatal care.</w:t>
            </w:r>
          </w:p>
          <w:p w14:paraId="527C292F" w14:textId="77777777" w:rsidR="001B3AC0" w:rsidRPr="001B3AC0" w:rsidRDefault="001B3AC0" w:rsidP="001B3AC0">
            <w:pPr>
              <w:rPr>
                <w:rFonts w:cstheme="minorHAnsi"/>
                <w:sz w:val="24"/>
                <w:szCs w:val="24"/>
              </w:rPr>
            </w:pPr>
            <w:r w:rsidRPr="001B3AC0">
              <w:rPr>
                <w:rFonts w:cstheme="minorHAnsi"/>
                <w:b/>
                <w:sz w:val="24"/>
                <w:szCs w:val="24"/>
                <w:u w:val="single"/>
              </w:rPr>
              <w:t>Module 3</w:t>
            </w:r>
            <w:r w:rsidRPr="001B3AC0">
              <w:rPr>
                <w:rFonts w:cstheme="minorHAnsi"/>
                <w:sz w:val="24"/>
                <w:szCs w:val="24"/>
              </w:rPr>
              <w:t xml:space="preserve">: Dignity in Pregnancy and Childbirth: Part 3: </w:t>
            </w:r>
            <w:proofErr w:type="gramStart"/>
            <w:r w:rsidRPr="001B3AC0">
              <w:rPr>
                <w:rFonts w:cstheme="minorHAnsi"/>
                <w:sz w:val="24"/>
                <w:szCs w:val="24"/>
              </w:rPr>
              <w:t>Taking Action</w:t>
            </w:r>
            <w:proofErr w:type="gramEnd"/>
            <w:r w:rsidRPr="001B3AC0">
              <w:rPr>
                <w:rFonts w:cstheme="minorHAnsi"/>
                <w:sz w:val="24"/>
                <w:szCs w:val="24"/>
              </w:rPr>
              <w:t xml:space="preserve"> (15 min)</w:t>
            </w:r>
          </w:p>
          <w:p w14:paraId="0044C62C" w14:textId="77777777" w:rsidR="00FB53BF" w:rsidRPr="001B3AC0" w:rsidRDefault="001B3AC0" w:rsidP="00FB53BF">
            <w:pPr>
              <w:rPr>
                <w:rFonts w:cstheme="minorHAnsi"/>
                <w:sz w:val="24"/>
                <w:szCs w:val="24"/>
              </w:rPr>
            </w:pPr>
            <w:r w:rsidRPr="001B3AC0">
              <w:rPr>
                <w:rFonts w:cstheme="minorHAnsi"/>
                <w:sz w:val="24"/>
                <w:szCs w:val="24"/>
              </w:rPr>
              <w:t>Part 3 - models what positive and ongoing anti-racist healthcare practice might look like and how to incorporate reproductive justice values into our care for Black birthing women and all birthing people. It also models and discusses how patient-centered care can help empower our patients and respect the fundamental dignity and autonomy of each of our patients.</w:t>
            </w:r>
          </w:p>
          <w:p w14:paraId="4E960DAF" w14:textId="77777777" w:rsidR="009B2440" w:rsidRPr="009B2440" w:rsidRDefault="009B2440" w:rsidP="009B2440">
            <w:pPr>
              <w:rPr>
                <w:rFonts w:cstheme="minorHAnsi"/>
                <w:sz w:val="24"/>
                <w:szCs w:val="24"/>
              </w:rPr>
            </w:pPr>
            <w:r w:rsidRPr="009B2440">
              <w:rPr>
                <w:rFonts w:cstheme="minorHAnsi"/>
                <w:b/>
                <w:sz w:val="24"/>
                <w:szCs w:val="24"/>
                <w:u w:val="single"/>
              </w:rPr>
              <w:t>Resources for BIPOC providers</w:t>
            </w:r>
            <w:r w:rsidRPr="009B2440">
              <w:rPr>
                <w:rFonts w:cstheme="minorHAnsi"/>
                <w:sz w:val="24"/>
                <w:szCs w:val="24"/>
              </w:rPr>
              <w:t>:</w:t>
            </w:r>
          </w:p>
          <w:p w14:paraId="735BD23F" w14:textId="3E138CB8" w:rsidR="009B2440" w:rsidRPr="009B2440" w:rsidRDefault="009B2440" w:rsidP="009B2440">
            <w:pPr>
              <w:pStyle w:val="ListParagraph"/>
              <w:numPr>
                <w:ilvl w:val="0"/>
                <w:numId w:val="22"/>
              </w:numPr>
              <w:rPr>
                <w:rFonts w:cstheme="minorHAnsi"/>
                <w:sz w:val="24"/>
                <w:szCs w:val="24"/>
              </w:rPr>
            </w:pPr>
            <w:r w:rsidRPr="009B2440">
              <w:rPr>
                <w:rFonts w:cstheme="minorHAnsi"/>
                <w:sz w:val="24"/>
                <w:szCs w:val="24"/>
              </w:rPr>
              <w:t xml:space="preserve">Our Stereotype Threat eLearning, which is an optional part of this course. </w:t>
            </w:r>
          </w:p>
          <w:p w14:paraId="1AD711F8" w14:textId="19996A78" w:rsidR="009B2440" w:rsidRPr="009B2440" w:rsidRDefault="009B2440" w:rsidP="009B2440">
            <w:pPr>
              <w:pStyle w:val="ListParagraph"/>
              <w:numPr>
                <w:ilvl w:val="0"/>
                <w:numId w:val="22"/>
              </w:numPr>
              <w:rPr>
                <w:rFonts w:cstheme="minorHAnsi"/>
                <w:sz w:val="24"/>
                <w:szCs w:val="24"/>
              </w:rPr>
            </w:pPr>
            <w:r w:rsidRPr="009B2440">
              <w:rPr>
                <w:rFonts w:cstheme="minorHAnsi"/>
                <w:sz w:val="24"/>
                <w:szCs w:val="24"/>
              </w:rPr>
              <w:t xml:space="preserve">Resources for </w:t>
            </w:r>
            <w:hyperlink r:id="rId19" w:history="1">
              <w:r w:rsidRPr="000753CF">
                <w:rPr>
                  <w:rStyle w:val="Hyperlink"/>
                  <w:rFonts w:cstheme="minorHAnsi"/>
                  <w:sz w:val="24"/>
                  <w:szCs w:val="24"/>
                </w:rPr>
                <w:t>Understanding and Transforming Racial Trauma</w:t>
              </w:r>
            </w:hyperlink>
            <w:r w:rsidRPr="009B2440">
              <w:rPr>
                <w:rFonts w:cstheme="minorHAnsi"/>
                <w:sz w:val="24"/>
                <w:szCs w:val="24"/>
              </w:rPr>
              <w:t xml:space="preserve"> </w:t>
            </w:r>
          </w:p>
          <w:p w14:paraId="69732E25" w14:textId="2F098243" w:rsidR="00FB53BF" w:rsidRPr="001B3AC0" w:rsidRDefault="00FB53BF" w:rsidP="00611552">
            <w:pPr>
              <w:jc w:val="center"/>
              <w:rPr>
                <w:rFonts w:cstheme="minorHAnsi"/>
                <w:b/>
                <w:sz w:val="24"/>
                <w:szCs w:val="24"/>
                <w:u w:val="single"/>
              </w:rPr>
            </w:pPr>
            <w:r w:rsidRPr="001B3AC0">
              <w:rPr>
                <w:rFonts w:cstheme="minorHAnsi"/>
                <w:b/>
                <w:sz w:val="24"/>
                <w:szCs w:val="24"/>
                <w:u w:val="single"/>
              </w:rPr>
              <w:t>Strategies for Next Steps</w:t>
            </w:r>
          </w:p>
          <w:p w14:paraId="02BE2913" w14:textId="77777777" w:rsidR="00FB53BF" w:rsidRPr="001B3AC0" w:rsidRDefault="00FB53BF" w:rsidP="00664884">
            <w:pPr>
              <w:spacing w:after="0"/>
              <w:rPr>
                <w:rFonts w:cstheme="minorHAnsi"/>
                <w:sz w:val="24"/>
                <w:szCs w:val="24"/>
              </w:rPr>
            </w:pPr>
            <w:r w:rsidRPr="001B3AC0">
              <w:rPr>
                <w:rFonts w:cstheme="minorHAnsi"/>
                <w:sz w:val="24"/>
                <w:szCs w:val="24"/>
              </w:rPr>
              <w:t>Next steps for implementing the Diversity Science strategies:</w:t>
            </w:r>
          </w:p>
          <w:p w14:paraId="543A616B" w14:textId="77777777" w:rsidR="00FB53BF" w:rsidRPr="001B3AC0" w:rsidRDefault="00FB53BF" w:rsidP="00664884">
            <w:pPr>
              <w:spacing w:after="0"/>
              <w:rPr>
                <w:rFonts w:cstheme="minorHAnsi"/>
                <w:sz w:val="24"/>
                <w:szCs w:val="24"/>
              </w:rPr>
            </w:pPr>
            <w:r w:rsidRPr="001B3AC0">
              <w:rPr>
                <w:rFonts w:cstheme="minorHAnsi"/>
                <w:sz w:val="24"/>
                <w:szCs w:val="24"/>
              </w:rPr>
              <w:t>In a small group setting, with an appropriate facilitator,</w:t>
            </w:r>
          </w:p>
          <w:p w14:paraId="5EB82375" w14:textId="77777777" w:rsidR="00FB53BF" w:rsidRPr="001B3AC0" w:rsidRDefault="00FB53BF" w:rsidP="00664884">
            <w:pPr>
              <w:numPr>
                <w:ilvl w:val="0"/>
                <w:numId w:val="9"/>
              </w:numPr>
              <w:spacing w:after="0"/>
              <w:rPr>
                <w:rFonts w:cstheme="minorHAnsi"/>
                <w:sz w:val="24"/>
                <w:szCs w:val="24"/>
              </w:rPr>
            </w:pPr>
            <w:r w:rsidRPr="001B3AC0">
              <w:rPr>
                <w:rFonts w:cstheme="minorHAnsi"/>
                <w:sz w:val="24"/>
                <w:szCs w:val="24"/>
              </w:rPr>
              <w:t>Ask all participants to complete and save their Action Plan from Module 1. Have participants share their experience and action plan. Discuss concepts presented in the module and how that impacted the development of their action plan.</w:t>
            </w:r>
          </w:p>
          <w:p w14:paraId="59352B53" w14:textId="77777777" w:rsidR="00FB53BF" w:rsidRPr="001B3AC0" w:rsidRDefault="00FB53BF" w:rsidP="00664884">
            <w:pPr>
              <w:numPr>
                <w:ilvl w:val="0"/>
                <w:numId w:val="9"/>
              </w:numPr>
              <w:spacing w:after="0"/>
              <w:rPr>
                <w:rFonts w:cstheme="minorHAnsi"/>
                <w:sz w:val="24"/>
                <w:szCs w:val="24"/>
              </w:rPr>
            </w:pPr>
            <w:r w:rsidRPr="001B3AC0">
              <w:rPr>
                <w:rFonts w:cstheme="minorHAnsi"/>
                <w:sz w:val="24"/>
                <w:szCs w:val="24"/>
              </w:rPr>
              <w:lastRenderedPageBreak/>
              <w:t xml:space="preserve">Use downloadable handout summarizing evidence-based strategies for interrupting bias for discussion and use in simulation activities. </w:t>
            </w:r>
          </w:p>
          <w:p w14:paraId="67CBF79A" w14:textId="77777777" w:rsidR="00FB53BF" w:rsidRPr="001B3AC0" w:rsidRDefault="00FB53BF" w:rsidP="00664884">
            <w:pPr>
              <w:numPr>
                <w:ilvl w:val="0"/>
                <w:numId w:val="9"/>
              </w:numPr>
              <w:spacing w:after="0"/>
              <w:rPr>
                <w:rFonts w:cstheme="minorHAnsi"/>
                <w:sz w:val="24"/>
                <w:szCs w:val="24"/>
              </w:rPr>
            </w:pPr>
            <w:r w:rsidRPr="001B3AC0">
              <w:rPr>
                <w:rFonts w:cstheme="minorHAnsi"/>
                <w:sz w:val="24"/>
                <w:szCs w:val="24"/>
              </w:rPr>
              <w:t xml:space="preserve">Use downloadable handout summarizing anti-bias strategies for discussion and use in simulation activities. </w:t>
            </w:r>
          </w:p>
          <w:p w14:paraId="16E6B0BB" w14:textId="77777777" w:rsidR="00FB53BF" w:rsidRPr="001B3AC0" w:rsidRDefault="00FB53BF" w:rsidP="00664884">
            <w:pPr>
              <w:numPr>
                <w:ilvl w:val="0"/>
                <w:numId w:val="9"/>
              </w:numPr>
              <w:spacing w:after="0"/>
              <w:rPr>
                <w:rFonts w:cstheme="minorHAnsi"/>
                <w:sz w:val="24"/>
                <w:szCs w:val="24"/>
              </w:rPr>
            </w:pPr>
            <w:r w:rsidRPr="001B3AC0">
              <w:rPr>
                <w:rFonts w:cstheme="minorHAnsi"/>
                <w:sz w:val="24"/>
                <w:szCs w:val="24"/>
              </w:rPr>
              <w:t xml:space="preserve">Brainstorm and discuss actionable next steps. </w:t>
            </w:r>
          </w:p>
          <w:p w14:paraId="2B16AAFC" w14:textId="77777777" w:rsidR="00FB53BF" w:rsidRPr="001B3AC0" w:rsidRDefault="00FB53BF" w:rsidP="00FB53BF">
            <w:pPr>
              <w:rPr>
                <w:rFonts w:cstheme="minorHAnsi"/>
                <w:sz w:val="24"/>
                <w:szCs w:val="24"/>
              </w:rPr>
            </w:pPr>
          </w:p>
        </w:tc>
      </w:tr>
    </w:tbl>
    <w:p w14:paraId="63CFC504" w14:textId="77777777" w:rsidR="00EC7A3D" w:rsidRPr="001B3AC0" w:rsidRDefault="00FB53BF" w:rsidP="00FB53BF">
      <w:pPr>
        <w:jc w:val="center"/>
        <w:rPr>
          <w:rFonts w:cstheme="minorHAnsi"/>
          <w:b/>
          <w:sz w:val="24"/>
          <w:szCs w:val="24"/>
          <w:u w:val="single"/>
        </w:rPr>
      </w:pPr>
      <w:r w:rsidRPr="001B3AC0">
        <w:rPr>
          <w:rFonts w:cstheme="minorHAnsi"/>
          <w:b/>
          <w:sz w:val="24"/>
          <w:szCs w:val="24"/>
          <w:u w:val="single"/>
        </w:rPr>
        <w:lastRenderedPageBreak/>
        <w:t>Outline of the Diversity Science Trainings</w:t>
      </w:r>
    </w:p>
    <w:p w14:paraId="34C626E9" w14:textId="77777777" w:rsidR="00FB53BF" w:rsidRPr="001B3AC0" w:rsidRDefault="00FB53BF" w:rsidP="00FB53BF">
      <w:pPr>
        <w:rPr>
          <w:rFonts w:cstheme="minorHAnsi"/>
          <w:b/>
          <w:sz w:val="24"/>
          <w:szCs w:val="24"/>
          <w:u w:val="single"/>
        </w:rPr>
      </w:pPr>
      <w:r w:rsidRPr="001B3AC0">
        <w:rPr>
          <w:rFonts w:cstheme="minorHAnsi"/>
          <w:b/>
          <w:sz w:val="24"/>
          <w:szCs w:val="24"/>
          <w:u w:val="single"/>
        </w:rPr>
        <w:t>Module 1 follows Melissa’s story and discusses the concepts of:</w:t>
      </w:r>
    </w:p>
    <w:p w14:paraId="30CF872C" w14:textId="77777777" w:rsidR="00FB53BF" w:rsidRPr="001B3AC0" w:rsidRDefault="00FB53BF" w:rsidP="00FB53BF">
      <w:pPr>
        <w:numPr>
          <w:ilvl w:val="0"/>
          <w:numId w:val="12"/>
        </w:numPr>
        <w:spacing w:after="0"/>
        <w:ind w:left="360"/>
        <w:rPr>
          <w:rFonts w:cstheme="minorHAnsi"/>
          <w:sz w:val="24"/>
          <w:szCs w:val="24"/>
        </w:rPr>
      </w:pPr>
      <w:r w:rsidRPr="001B3AC0">
        <w:rPr>
          <w:rFonts w:cstheme="minorHAnsi"/>
          <w:sz w:val="24"/>
          <w:szCs w:val="24"/>
        </w:rPr>
        <w:t>Racial bias:</w:t>
      </w:r>
    </w:p>
    <w:p w14:paraId="24816440" w14:textId="77777777" w:rsidR="00FB53BF" w:rsidRPr="001B3AC0" w:rsidRDefault="00FB53BF" w:rsidP="00FB53BF">
      <w:pPr>
        <w:numPr>
          <w:ilvl w:val="1"/>
          <w:numId w:val="15"/>
        </w:numPr>
        <w:spacing w:after="0"/>
        <w:ind w:left="1080"/>
        <w:rPr>
          <w:rFonts w:cstheme="minorHAnsi"/>
          <w:sz w:val="24"/>
          <w:szCs w:val="24"/>
        </w:rPr>
      </w:pPr>
      <w:r w:rsidRPr="001B3AC0">
        <w:rPr>
          <w:rFonts w:cstheme="minorHAnsi"/>
          <w:sz w:val="24"/>
          <w:szCs w:val="24"/>
        </w:rPr>
        <w:t>Inequity in care</w:t>
      </w:r>
    </w:p>
    <w:p w14:paraId="12EFA6BF" w14:textId="77777777" w:rsidR="00FB53BF" w:rsidRPr="001B3AC0" w:rsidRDefault="00FB53BF" w:rsidP="00FB53BF">
      <w:pPr>
        <w:numPr>
          <w:ilvl w:val="1"/>
          <w:numId w:val="15"/>
        </w:numPr>
        <w:spacing w:after="0"/>
        <w:ind w:left="1080"/>
        <w:rPr>
          <w:rFonts w:cstheme="minorHAnsi"/>
          <w:sz w:val="24"/>
          <w:szCs w:val="24"/>
        </w:rPr>
      </w:pPr>
      <w:r w:rsidRPr="001B3AC0">
        <w:rPr>
          <w:rFonts w:cstheme="minorHAnsi"/>
          <w:sz w:val="24"/>
          <w:szCs w:val="24"/>
        </w:rPr>
        <w:t>Personal/Professional values</w:t>
      </w:r>
    </w:p>
    <w:p w14:paraId="0EDCA968" w14:textId="77777777" w:rsidR="00FB53BF" w:rsidRPr="001B3AC0" w:rsidRDefault="00FB53BF" w:rsidP="00FB53BF">
      <w:pPr>
        <w:numPr>
          <w:ilvl w:val="1"/>
          <w:numId w:val="15"/>
        </w:numPr>
        <w:spacing w:after="0"/>
        <w:ind w:left="1080"/>
        <w:rPr>
          <w:rFonts w:cstheme="minorHAnsi"/>
          <w:sz w:val="24"/>
          <w:szCs w:val="24"/>
        </w:rPr>
      </w:pPr>
      <w:r w:rsidRPr="001B3AC0">
        <w:rPr>
          <w:rFonts w:cstheme="minorHAnsi"/>
          <w:sz w:val="24"/>
          <w:szCs w:val="24"/>
        </w:rPr>
        <w:t>Common values</w:t>
      </w:r>
    </w:p>
    <w:p w14:paraId="425BC137" w14:textId="77777777" w:rsidR="00FB53BF" w:rsidRPr="001B3AC0" w:rsidRDefault="00FB53BF" w:rsidP="00FB53BF">
      <w:pPr>
        <w:numPr>
          <w:ilvl w:val="0"/>
          <w:numId w:val="12"/>
        </w:numPr>
        <w:spacing w:after="0"/>
        <w:ind w:left="360"/>
        <w:rPr>
          <w:rFonts w:cstheme="minorHAnsi"/>
          <w:sz w:val="24"/>
          <w:szCs w:val="24"/>
        </w:rPr>
      </w:pPr>
      <w:r w:rsidRPr="001B3AC0">
        <w:rPr>
          <w:rFonts w:cstheme="minorHAnsi"/>
          <w:sz w:val="24"/>
          <w:szCs w:val="24"/>
        </w:rPr>
        <w:t xml:space="preserve">Perspective taking: </w:t>
      </w:r>
    </w:p>
    <w:p w14:paraId="55102AEE" w14:textId="77777777" w:rsidR="00FB53BF" w:rsidRPr="001B3AC0" w:rsidRDefault="00FB53BF" w:rsidP="00FB53BF">
      <w:pPr>
        <w:numPr>
          <w:ilvl w:val="1"/>
          <w:numId w:val="16"/>
        </w:numPr>
        <w:spacing w:after="0"/>
        <w:ind w:left="1080"/>
        <w:rPr>
          <w:rFonts w:cstheme="minorHAnsi"/>
          <w:sz w:val="24"/>
          <w:szCs w:val="24"/>
        </w:rPr>
      </w:pPr>
      <w:r w:rsidRPr="001B3AC0">
        <w:rPr>
          <w:rFonts w:cstheme="minorHAnsi"/>
          <w:sz w:val="24"/>
          <w:szCs w:val="24"/>
        </w:rPr>
        <w:t>Stereotyping</w:t>
      </w:r>
    </w:p>
    <w:p w14:paraId="684BBF08" w14:textId="77777777" w:rsidR="00FB53BF" w:rsidRPr="001B3AC0" w:rsidRDefault="00FB53BF" w:rsidP="00FB53BF">
      <w:pPr>
        <w:numPr>
          <w:ilvl w:val="1"/>
          <w:numId w:val="16"/>
        </w:numPr>
        <w:spacing w:after="0"/>
        <w:ind w:left="1080"/>
        <w:rPr>
          <w:rFonts w:cstheme="minorHAnsi"/>
          <w:sz w:val="24"/>
          <w:szCs w:val="24"/>
        </w:rPr>
      </w:pPr>
      <w:r w:rsidRPr="001B3AC0">
        <w:rPr>
          <w:rFonts w:cstheme="minorHAnsi"/>
          <w:sz w:val="24"/>
          <w:szCs w:val="24"/>
        </w:rPr>
        <w:t>Unpacking bias</w:t>
      </w:r>
    </w:p>
    <w:p w14:paraId="3CEC7631" w14:textId="77777777" w:rsidR="00FB53BF" w:rsidRPr="001B3AC0" w:rsidRDefault="00FB53BF" w:rsidP="00FB53BF">
      <w:pPr>
        <w:numPr>
          <w:ilvl w:val="1"/>
          <w:numId w:val="16"/>
        </w:numPr>
        <w:spacing w:after="0"/>
        <w:ind w:left="1080"/>
        <w:rPr>
          <w:rFonts w:cstheme="minorHAnsi"/>
          <w:sz w:val="24"/>
          <w:szCs w:val="24"/>
        </w:rPr>
      </w:pPr>
      <w:r w:rsidRPr="001B3AC0">
        <w:rPr>
          <w:rFonts w:cstheme="minorHAnsi"/>
          <w:sz w:val="24"/>
          <w:szCs w:val="24"/>
        </w:rPr>
        <w:t>Historical relevance</w:t>
      </w:r>
    </w:p>
    <w:p w14:paraId="567EF8EF" w14:textId="77777777" w:rsidR="00FB53BF" w:rsidRPr="001B3AC0" w:rsidRDefault="00FB53BF" w:rsidP="00FB53BF">
      <w:pPr>
        <w:numPr>
          <w:ilvl w:val="0"/>
          <w:numId w:val="12"/>
        </w:numPr>
        <w:spacing w:after="0"/>
        <w:ind w:left="360"/>
        <w:rPr>
          <w:rFonts w:cstheme="minorHAnsi"/>
          <w:sz w:val="24"/>
          <w:szCs w:val="24"/>
        </w:rPr>
      </w:pPr>
      <w:r w:rsidRPr="001B3AC0">
        <w:rPr>
          <w:rFonts w:cstheme="minorHAnsi"/>
          <w:sz w:val="24"/>
          <w:szCs w:val="24"/>
        </w:rPr>
        <w:t>Interrupting racial bias:</w:t>
      </w:r>
    </w:p>
    <w:p w14:paraId="6020DF6F" w14:textId="77777777" w:rsidR="00FB53BF" w:rsidRPr="001B3AC0" w:rsidRDefault="00FB53BF" w:rsidP="00FB53BF">
      <w:pPr>
        <w:numPr>
          <w:ilvl w:val="1"/>
          <w:numId w:val="17"/>
        </w:numPr>
        <w:spacing w:after="0"/>
        <w:ind w:left="1080"/>
        <w:rPr>
          <w:rFonts w:cstheme="minorHAnsi"/>
          <w:sz w:val="24"/>
          <w:szCs w:val="24"/>
        </w:rPr>
      </w:pPr>
      <w:r w:rsidRPr="001B3AC0">
        <w:rPr>
          <w:rFonts w:cstheme="minorHAnsi"/>
          <w:sz w:val="24"/>
          <w:szCs w:val="24"/>
        </w:rPr>
        <w:t>Connecting the dots</w:t>
      </w:r>
    </w:p>
    <w:p w14:paraId="682893C4" w14:textId="77777777" w:rsidR="00FB53BF" w:rsidRPr="001B3AC0" w:rsidRDefault="00FB53BF" w:rsidP="00FB53BF">
      <w:pPr>
        <w:numPr>
          <w:ilvl w:val="1"/>
          <w:numId w:val="17"/>
        </w:numPr>
        <w:spacing w:after="0"/>
        <w:ind w:left="1080"/>
        <w:rPr>
          <w:rFonts w:cstheme="minorHAnsi"/>
          <w:sz w:val="24"/>
          <w:szCs w:val="24"/>
        </w:rPr>
      </w:pPr>
      <w:r w:rsidRPr="001B3AC0">
        <w:rPr>
          <w:rFonts w:cstheme="minorHAnsi"/>
          <w:sz w:val="24"/>
          <w:szCs w:val="24"/>
        </w:rPr>
        <w:t xml:space="preserve">Developing an action plan </w:t>
      </w:r>
    </w:p>
    <w:p w14:paraId="77B9BC5D" w14:textId="77777777" w:rsidR="00FB53BF" w:rsidRPr="001B3AC0" w:rsidRDefault="00FB53BF" w:rsidP="00FB53BF">
      <w:pPr>
        <w:spacing w:after="0"/>
        <w:ind w:left="1080"/>
        <w:rPr>
          <w:rFonts w:cstheme="minorHAnsi"/>
          <w:sz w:val="24"/>
          <w:szCs w:val="24"/>
        </w:rPr>
      </w:pPr>
    </w:p>
    <w:p w14:paraId="2B7C26C9" w14:textId="77777777" w:rsidR="00FB53BF" w:rsidRPr="001B3AC0" w:rsidRDefault="00FB53BF" w:rsidP="00FB53BF">
      <w:pPr>
        <w:rPr>
          <w:rFonts w:cstheme="minorHAnsi"/>
          <w:sz w:val="24"/>
          <w:szCs w:val="24"/>
        </w:rPr>
      </w:pPr>
      <w:r w:rsidRPr="001B3AC0">
        <w:rPr>
          <w:rFonts w:cstheme="minorHAnsi"/>
          <w:b/>
          <w:sz w:val="24"/>
          <w:szCs w:val="24"/>
          <w:u w:val="single"/>
        </w:rPr>
        <w:t>Module 2 follows Aiysha’s story and discusses concepts of</w:t>
      </w:r>
      <w:r w:rsidRPr="001B3AC0">
        <w:rPr>
          <w:rFonts w:cstheme="minorHAnsi"/>
          <w:sz w:val="24"/>
          <w:szCs w:val="24"/>
        </w:rPr>
        <w:t>:</w:t>
      </w:r>
    </w:p>
    <w:p w14:paraId="54E8AF2E" w14:textId="77777777" w:rsidR="00FB53BF" w:rsidRPr="001B3AC0" w:rsidRDefault="00FB53BF" w:rsidP="00FB53BF">
      <w:pPr>
        <w:numPr>
          <w:ilvl w:val="0"/>
          <w:numId w:val="13"/>
        </w:numPr>
        <w:spacing w:after="0"/>
        <w:ind w:left="360"/>
        <w:rPr>
          <w:rFonts w:cstheme="minorHAnsi"/>
          <w:sz w:val="24"/>
          <w:szCs w:val="24"/>
        </w:rPr>
      </w:pPr>
      <w:r w:rsidRPr="001B3AC0">
        <w:rPr>
          <w:rFonts w:cstheme="minorHAnsi"/>
          <w:sz w:val="24"/>
          <w:szCs w:val="24"/>
        </w:rPr>
        <w:t>(Unpacking) Implicit bias:</w:t>
      </w:r>
    </w:p>
    <w:p w14:paraId="7D956075"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Differing perspectives: observation, assumption, missed aspects/opportunities</w:t>
      </w:r>
    </w:p>
    <w:p w14:paraId="66A26628"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Conscious and Implicit Thinking Systems</w:t>
      </w:r>
    </w:p>
    <w:p w14:paraId="7F35FDE5" w14:textId="77777777" w:rsidR="00FB53BF" w:rsidRPr="001B3AC0" w:rsidRDefault="00FB53BF" w:rsidP="00FB53BF">
      <w:pPr>
        <w:numPr>
          <w:ilvl w:val="3"/>
          <w:numId w:val="11"/>
        </w:numPr>
        <w:spacing w:after="0"/>
        <w:ind w:left="1440"/>
        <w:rPr>
          <w:rFonts w:cstheme="minorHAnsi"/>
          <w:sz w:val="24"/>
          <w:szCs w:val="24"/>
        </w:rPr>
      </w:pPr>
      <w:r w:rsidRPr="001B3AC0">
        <w:rPr>
          <w:rFonts w:cstheme="minorHAnsi"/>
          <w:sz w:val="24"/>
          <w:szCs w:val="24"/>
        </w:rPr>
        <w:t>Racial stereotypes</w:t>
      </w:r>
    </w:p>
    <w:p w14:paraId="555A3393"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Role of Systemic Racism</w:t>
      </w:r>
    </w:p>
    <w:p w14:paraId="00797223"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Action steps</w:t>
      </w:r>
    </w:p>
    <w:p w14:paraId="4E1C5320" w14:textId="77777777" w:rsidR="00FB53BF" w:rsidRPr="001B3AC0" w:rsidRDefault="00FB53BF" w:rsidP="00FB53BF">
      <w:pPr>
        <w:numPr>
          <w:ilvl w:val="3"/>
          <w:numId w:val="11"/>
        </w:numPr>
        <w:spacing w:after="0"/>
        <w:ind w:left="1440"/>
        <w:rPr>
          <w:rFonts w:cstheme="minorHAnsi"/>
          <w:sz w:val="24"/>
          <w:szCs w:val="24"/>
        </w:rPr>
      </w:pPr>
      <w:r w:rsidRPr="001B3AC0">
        <w:rPr>
          <w:rFonts w:cstheme="minorHAnsi"/>
          <w:sz w:val="24"/>
          <w:szCs w:val="24"/>
        </w:rPr>
        <w:t>Partnership building</w:t>
      </w:r>
    </w:p>
    <w:p w14:paraId="2FADC520" w14:textId="77777777" w:rsidR="00FB53BF" w:rsidRPr="001B3AC0" w:rsidRDefault="00FB53BF" w:rsidP="00FB53BF">
      <w:pPr>
        <w:numPr>
          <w:ilvl w:val="0"/>
          <w:numId w:val="13"/>
        </w:numPr>
        <w:spacing w:after="0"/>
        <w:ind w:left="360"/>
        <w:rPr>
          <w:rFonts w:cstheme="minorHAnsi"/>
          <w:sz w:val="24"/>
          <w:szCs w:val="24"/>
        </w:rPr>
      </w:pPr>
      <w:r w:rsidRPr="001B3AC0">
        <w:rPr>
          <w:rFonts w:cstheme="minorHAnsi"/>
          <w:sz w:val="24"/>
          <w:szCs w:val="24"/>
        </w:rPr>
        <w:t>Empathy gap:</w:t>
      </w:r>
    </w:p>
    <w:p w14:paraId="38701B0B"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Differing perspectives</w:t>
      </w:r>
    </w:p>
    <w:p w14:paraId="3FCA343C"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Cross-race empathy gap/Respectful care</w:t>
      </w:r>
    </w:p>
    <w:p w14:paraId="4B42C753"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Improved outcomes</w:t>
      </w:r>
    </w:p>
    <w:p w14:paraId="5BE599B6"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Action steps</w:t>
      </w:r>
    </w:p>
    <w:p w14:paraId="1246BDCD" w14:textId="77777777" w:rsidR="00FB53BF" w:rsidRPr="001B3AC0" w:rsidRDefault="00FB53BF" w:rsidP="00FB53BF">
      <w:pPr>
        <w:numPr>
          <w:ilvl w:val="3"/>
          <w:numId w:val="11"/>
        </w:numPr>
        <w:spacing w:after="0"/>
        <w:ind w:left="1440"/>
        <w:rPr>
          <w:rFonts w:cstheme="minorHAnsi"/>
          <w:sz w:val="24"/>
          <w:szCs w:val="24"/>
        </w:rPr>
      </w:pPr>
      <w:r w:rsidRPr="001B3AC0">
        <w:rPr>
          <w:rFonts w:cstheme="minorHAnsi"/>
          <w:sz w:val="24"/>
          <w:szCs w:val="24"/>
        </w:rPr>
        <w:t>Perspective taking</w:t>
      </w:r>
    </w:p>
    <w:p w14:paraId="3EEC1D6A" w14:textId="77777777" w:rsidR="00FB53BF" w:rsidRPr="001B3AC0" w:rsidRDefault="00FB53BF" w:rsidP="00FB53BF">
      <w:pPr>
        <w:numPr>
          <w:ilvl w:val="0"/>
          <w:numId w:val="14"/>
        </w:numPr>
        <w:spacing w:after="0"/>
        <w:ind w:left="360"/>
        <w:rPr>
          <w:rFonts w:cstheme="minorHAnsi"/>
          <w:sz w:val="24"/>
          <w:szCs w:val="24"/>
        </w:rPr>
      </w:pPr>
      <w:r w:rsidRPr="001B3AC0">
        <w:rPr>
          <w:rFonts w:cstheme="minorHAnsi"/>
          <w:sz w:val="24"/>
          <w:szCs w:val="24"/>
        </w:rPr>
        <w:t>Closing:</w:t>
      </w:r>
    </w:p>
    <w:p w14:paraId="03315157"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Concept of weathering</w:t>
      </w:r>
    </w:p>
    <w:p w14:paraId="160A2451" w14:textId="77777777" w:rsidR="00FB53BF" w:rsidRPr="001B3AC0" w:rsidRDefault="00FB53BF" w:rsidP="00FB53BF">
      <w:pPr>
        <w:numPr>
          <w:ilvl w:val="2"/>
          <w:numId w:val="11"/>
        </w:numPr>
        <w:spacing w:after="0"/>
        <w:ind w:left="720"/>
        <w:rPr>
          <w:rFonts w:cstheme="minorHAnsi"/>
          <w:sz w:val="24"/>
          <w:szCs w:val="24"/>
        </w:rPr>
      </w:pPr>
      <w:r w:rsidRPr="001B3AC0">
        <w:rPr>
          <w:rFonts w:cstheme="minorHAnsi"/>
          <w:sz w:val="24"/>
          <w:szCs w:val="24"/>
        </w:rPr>
        <w:t>Implementation of strategies</w:t>
      </w:r>
    </w:p>
    <w:p w14:paraId="1E1FE343" w14:textId="77777777" w:rsidR="00FB53BF" w:rsidRPr="001B3AC0" w:rsidRDefault="00FB53BF" w:rsidP="00FB53BF">
      <w:pPr>
        <w:spacing w:after="0"/>
        <w:rPr>
          <w:rFonts w:cstheme="minorHAnsi"/>
          <w:b/>
          <w:sz w:val="24"/>
          <w:szCs w:val="24"/>
          <w:u w:val="single"/>
        </w:rPr>
      </w:pPr>
    </w:p>
    <w:p w14:paraId="485E55C9" w14:textId="77777777" w:rsidR="00FB53BF" w:rsidRPr="001B3AC0" w:rsidRDefault="00FB53BF" w:rsidP="00FB53BF">
      <w:pPr>
        <w:rPr>
          <w:rFonts w:cstheme="minorHAnsi"/>
          <w:sz w:val="24"/>
          <w:szCs w:val="24"/>
        </w:rPr>
      </w:pPr>
      <w:r w:rsidRPr="001B3AC0">
        <w:rPr>
          <w:rFonts w:cstheme="minorHAnsi"/>
          <w:b/>
          <w:sz w:val="24"/>
          <w:szCs w:val="24"/>
          <w:u w:val="single"/>
        </w:rPr>
        <w:t>Module 3 follows Rose’s story and discusses concepts of</w:t>
      </w:r>
      <w:r w:rsidRPr="001B3AC0">
        <w:rPr>
          <w:rFonts w:cstheme="minorHAnsi"/>
          <w:sz w:val="24"/>
          <w:szCs w:val="24"/>
        </w:rPr>
        <w:t>:</w:t>
      </w:r>
    </w:p>
    <w:p w14:paraId="660DCEB1" w14:textId="77777777" w:rsidR="00FB53BF" w:rsidRPr="001B3AC0" w:rsidRDefault="00FB53BF" w:rsidP="00FB53BF">
      <w:pPr>
        <w:numPr>
          <w:ilvl w:val="0"/>
          <w:numId w:val="14"/>
        </w:numPr>
        <w:spacing w:after="0"/>
        <w:ind w:left="360"/>
        <w:rPr>
          <w:rFonts w:cstheme="minorHAnsi"/>
          <w:sz w:val="24"/>
          <w:szCs w:val="24"/>
        </w:rPr>
      </w:pPr>
      <w:r w:rsidRPr="001B3AC0">
        <w:rPr>
          <w:rFonts w:cstheme="minorHAnsi"/>
          <w:sz w:val="24"/>
          <w:szCs w:val="24"/>
        </w:rPr>
        <w:lastRenderedPageBreak/>
        <w:t>Reproductive Justice Framework, the rights to:</w:t>
      </w:r>
    </w:p>
    <w:p w14:paraId="3ABF51DD" w14:textId="77777777" w:rsidR="00FB53BF" w:rsidRPr="001B3AC0" w:rsidRDefault="00FB53BF" w:rsidP="00FB53BF">
      <w:pPr>
        <w:numPr>
          <w:ilvl w:val="1"/>
          <w:numId w:val="18"/>
        </w:numPr>
        <w:spacing w:after="0"/>
        <w:ind w:left="1080"/>
        <w:rPr>
          <w:rFonts w:cstheme="minorHAnsi"/>
          <w:sz w:val="24"/>
          <w:szCs w:val="24"/>
        </w:rPr>
      </w:pPr>
      <w:r w:rsidRPr="001B3AC0">
        <w:rPr>
          <w:rFonts w:cstheme="minorHAnsi"/>
          <w:sz w:val="24"/>
          <w:szCs w:val="24"/>
        </w:rPr>
        <w:t>Personal, bodily autonomy</w:t>
      </w:r>
    </w:p>
    <w:p w14:paraId="58B464E6" w14:textId="77777777" w:rsidR="00FB53BF" w:rsidRPr="001B3AC0" w:rsidRDefault="00FB53BF" w:rsidP="00FB53BF">
      <w:pPr>
        <w:numPr>
          <w:ilvl w:val="1"/>
          <w:numId w:val="18"/>
        </w:numPr>
        <w:spacing w:after="0"/>
        <w:ind w:left="1080"/>
        <w:rPr>
          <w:rFonts w:cstheme="minorHAnsi"/>
          <w:sz w:val="24"/>
          <w:szCs w:val="24"/>
        </w:rPr>
      </w:pPr>
      <w:r w:rsidRPr="001B3AC0">
        <w:rPr>
          <w:rFonts w:cstheme="minorHAnsi"/>
          <w:sz w:val="24"/>
          <w:szCs w:val="24"/>
        </w:rPr>
        <w:t>Decide whether to have children</w:t>
      </w:r>
    </w:p>
    <w:p w14:paraId="1B8FAEB0" w14:textId="77777777" w:rsidR="00FB53BF" w:rsidRPr="001B3AC0" w:rsidRDefault="00FB53BF" w:rsidP="00FB53BF">
      <w:pPr>
        <w:numPr>
          <w:ilvl w:val="1"/>
          <w:numId w:val="18"/>
        </w:numPr>
        <w:spacing w:after="0"/>
        <w:ind w:left="1080"/>
        <w:rPr>
          <w:rFonts w:cstheme="minorHAnsi"/>
          <w:sz w:val="24"/>
          <w:szCs w:val="24"/>
        </w:rPr>
      </w:pPr>
      <w:r w:rsidRPr="001B3AC0">
        <w:rPr>
          <w:rFonts w:cstheme="minorHAnsi"/>
          <w:sz w:val="24"/>
          <w:szCs w:val="24"/>
        </w:rPr>
        <w:t>Parent children in safe and health environments</w:t>
      </w:r>
    </w:p>
    <w:p w14:paraId="722D5553" w14:textId="77777777" w:rsidR="00FB53BF" w:rsidRPr="001B3AC0" w:rsidRDefault="00FB53BF" w:rsidP="00FB53BF">
      <w:pPr>
        <w:numPr>
          <w:ilvl w:val="0"/>
          <w:numId w:val="14"/>
        </w:numPr>
        <w:spacing w:after="0"/>
        <w:ind w:left="360"/>
        <w:rPr>
          <w:rFonts w:cstheme="minorHAnsi"/>
          <w:sz w:val="24"/>
          <w:szCs w:val="24"/>
        </w:rPr>
      </w:pPr>
      <w:r w:rsidRPr="001B3AC0">
        <w:rPr>
          <w:rFonts w:cstheme="minorHAnsi"/>
          <w:sz w:val="24"/>
          <w:szCs w:val="24"/>
        </w:rPr>
        <w:t>Bias-reducing strategies</w:t>
      </w:r>
    </w:p>
    <w:p w14:paraId="502F449E" w14:textId="77777777" w:rsidR="00FB53BF" w:rsidRPr="001B3AC0" w:rsidRDefault="00FB53BF" w:rsidP="00FB53BF">
      <w:pPr>
        <w:numPr>
          <w:ilvl w:val="0"/>
          <w:numId w:val="19"/>
        </w:numPr>
        <w:spacing w:after="0"/>
        <w:ind w:left="1080"/>
        <w:rPr>
          <w:rFonts w:cstheme="minorHAnsi"/>
          <w:sz w:val="24"/>
          <w:szCs w:val="24"/>
        </w:rPr>
      </w:pPr>
      <w:r w:rsidRPr="001B3AC0">
        <w:rPr>
          <w:rFonts w:cstheme="minorHAnsi"/>
          <w:sz w:val="24"/>
          <w:szCs w:val="24"/>
        </w:rPr>
        <w:t>Self-reflection on words, actions &amp; thoughts</w:t>
      </w:r>
    </w:p>
    <w:p w14:paraId="406837CB" w14:textId="77777777" w:rsidR="00FB53BF" w:rsidRPr="001B3AC0" w:rsidRDefault="00FB53BF" w:rsidP="00FB53BF">
      <w:pPr>
        <w:numPr>
          <w:ilvl w:val="0"/>
          <w:numId w:val="20"/>
        </w:numPr>
        <w:spacing w:after="0"/>
        <w:ind w:left="0" w:firstLine="0"/>
        <w:rPr>
          <w:rFonts w:cstheme="minorHAnsi"/>
          <w:sz w:val="24"/>
          <w:szCs w:val="24"/>
        </w:rPr>
      </w:pPr>
      <w:r w:rsidRPr="001B3AC0">
        <w:rPr>
          <w:rFonts w:cstheme="minorHAnsi"/>
          <w:sz w:val="24"/>
          <w:szCs w:val="24"/>
        </w:rPr>
        <w:t>Patient-centered Care</w:t>
      </w:r>
    </w:p>
    <w:p w14:paraId="79312AC7" w14:textId="77777777" w:rsidR="00FB53BF" w:rsidRPr="001B3AC0" w:rsidRDefault="00FB53BF" w:rsidP="00FB53BF">
      <w:pPr>
        <w:numPr>
          <w:ilvl w:val="0"/>
          <w:numId w:val="19"/>
        </w:numPr>
        <w:spacing w:after="0"/>
        <w:ind w:left="1080"/>
        <w:rPr>
          <w:rFonts w:cstheme="minorHAnsi"/>
          <w:sz w:val="24"/>
          <w:szCs w:val="24"/>
        </w:rPr>
      </w:pPr>
      <w:r w:rsidRPr="001B3AC0">
        <w:rPr>
          <w:rFonts w:cstheme="minorHAnsi"/>
          <w:sz w:val="24"/>
          <w:szCs w:val="24"/>
        </w:rPr>
        <w:t>Informed, affirmed, heard &amp; respected</w:t>
      </w:r>
    </w:p>
    <w:p w14:paraId="6E4311CC" w14:textId="77777777" w:rsidR="00FB53BF" w:rsidRPr="001B3AC0" w:rsidRDefault="00FB53BF" w:rsidP="00FB53BF">
      <w:pPr>
        <w:numPr>
          <w:ilvl w:val="0"/>
          <w:numId w:val="21"/>
        </w:numPr>
        <w:spacing w:after="0"/>
        <w:ind w:left="0" w:firstLine="0"/>
        <w:rPr>
          <w:rFonts w:cstheme="minorHAnsi"/>
          <w:sz w:val="24"/>
          <w:szCs w:val="24"/>
        </w:rPr>
      </w:pPr>
      <w:r w:rsidRPr="001B3AC0">
        <w:rPr>
          <w:rFonts w:cstheme="minorHAnsi"/>
          <w:sz w:val="24"/>
          <w:szCs w:val="24"/>
        </w:rPr>
        <w:t>Addressing Racism in Healthcare</w:t>
      </w:r>
    </w:p>
    <w:p w14:paraId="1E0EA28B" w14:textId="77777777" w:rsidR="00FB53BF" w:rsidRPr="001B3AC0" w:rsidRDefault="00FB53BF" w:rsidP="00FB53BF">
      <w:pPr>
        <w:numPr>
          <w:ilvl w:val="0"/>
          <w:numId w:val="21"/>
        </w:numPr>
        <w:spacing w:after="0"/>
        <w:ind w:left="0" w:firstLine="0"/>
        <w:rPr>
          <w:rFonts w:cstheme="minorHAnsi"/>
          <w:sz w:val="24"/>
          <w:szCs w:val="24"/>
        </w:rPr>
      </w:pPr>
      <w:r w:rsidRPr="001B3AC0">
        <w:rPr>
          <w:rFonts w:cstheme="minorHAnsi"/>
          <w:sz w:val="24"/>
          <w:szCs w:val="24"/>
        </w:rPr>
        <w:t>Building an Action Plan</w:t>
      </w:r>
    </w:p>
    <w:p w14:paraId="327E6379" w14:textId="77777777" w:rsidR="00FB53BF" w:rsidRPr="001B3AC0" w:rsidRDefault="00FB53BF" w:rsidP="00FB53BF">
      <w:pPr>
        <w:numPr>
          <w:ilvl w:val="0"/>
          <w:numId w:val="19"/>
        </w:numPr>
        <w:spacing w:after="0"/>
        <w:ind w:left="1080"/>
        <w:rPr>
          <w:rFonts w:cstheme="minorHAnsi"/>
          <w:sz w:val="24"/>
          <w:szCs w:val="24"/>
        </w:rPr>
      </w:pPr>
      <w:r w:rsidRPr="001B3AC0">
        <w:rPr>
          <w:rFonts w:cstheme="minorHAnsi"/>
          <w:sz w:val="24"/>
          <w:szCs w:val="24"/>
        </w:rPr>
        <w:t>Resource list includes—3 handouts, 1 article, 2 website links</w:t>
      </w:r>
    </w:p>
    <w:p w14:paraId="35BADC8B" w14:textId="77777777" w:rsidR="00FB53BF" w:rsidRPr="001B3AC0" w:rsidRDefault="00FB53BF" w:rsidP="00FB53BF">
      <w:pPr>
        <w:spacing w:after="0"/>
        <w:rPr>
          <w:rFonts w:cstheme="minorHAnsi"/>
          <w:b/>
          <w:sz w:val="24"/>
          <w:szCs w:val="24"/>
          <w:u w:val="single"/>
        </w:rPr>
      </w:pPr>
    </w:p>
    <w:sectPr w:rsidR="00FB53BF" w:rsidRPr="001B3A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eshia Johnson" w:date="2021-04-20T13:50:00Z" w:initials="IJ">
    <w:p w14:paraId="23F1A900" w14:textId="77777777" w:rsidR="00FB53BF" w:rsidRDefault="00FB53BF">
      <w:pPr>
        <w:pStyle w:val="CommentText"/>
      </w:pPr>
      <w:r>
        <w:rPr>
          <w:rStyle w:val="CommentReference"/>
        </w:rPr>
        <w:annotationRef/>
      </w:r>
      <w:r>
        <w:t xml:space="preserve">Double check with Patti who is the ILPQC primary contact for technical support. Will it be Emily or someone else.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1A9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1A900" w16cid:durableId="242BD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86D8" w14:textId="77777777" w:rsidR="006F745E" w:rsidRDefault="006F745E" w:rsidP="00882AAA">
      <w:pPr>
        <w:spacing w:after="0" w:line="240" w:lineRule="auto"/>
      </w:pPr>
      <w:r>
        <w:separator/>
      </w:r>
    </w:p>
  </w:endnote>
  <w:endnote w:type="continuationSeparator" w:id="0">
    <w:p w14:paraId="5EC31D9D" w14:textId="77777777" w:rsidR="006F745E" w:rsidRDefault="006F745E" w:rsidP="008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655E" w14:textId="77777777" w:rsidR="006F745E" w:rsidRDefault="006F745E" w:rsidP="00882AAA">
      <w:pPr>
        <w:spacing w:after="0" w:line="240" w:lineRule="auto"/>
      </w:pPr>
      <w:r>
        <w:separator/>
      </w:r>
    </w:p>
  </w:footnote>
  <w:footnote w:type="continuationSeparator" w:id="0">
    <w:p w14:paraId="0468857D" w14:textId="77777777" w:rsidR="006F745E" w:rsidRDefault="006F745E" w:rsidP="00882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631"/>
    <w:multiLevelType w:val="hybridMultilevel"/>
    <w:tmpl w:val="5124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77B6"/>
    <w:multiLevelType w:val="hybridMultilevel"/>
    <w:tmpl w:val="C0EA8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60DE1"/>
    <w:multiLevelType w:val="multilevel"/>
    <w:tmpl w:val="1F5668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A1520"/>
    <w:multiLevelType w:val="hybridMultilevel"/>
    <w:tmpl w:val="37D439D8"/>
    <w:lvl w:ilvl="0" w:tplc="DAE8B520">
      <w:start w:val="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0537184"/>
    <w:multiLevelType w:val="hybridMultilevel"/>
    <w:tmpl w:val="BEF42B8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5A70C7"/>
    <w:multiLevelType w:val="hybridMultilevel"/>
    <w:tmpl w:val="B734E8F4"/>
    <w:lvl w:ilvl="0" w:tplc="A7920F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55FC"/>
    <w:multiLevelType w:val="hybridMultilevel"/>
    <w:tmpl w:val="C354E64E"/>
    <w:lvl w:ilvl="0" w:tplc="04090005">
      <w:start w:val="1"/>
      <w:numFmt w:val="bullet"/>
      <w:lvlText w:val=""/>
      <w:lvlJc w:val="left"/>
      <w:pPr>
        <w:ind w:left="1800" w:hanging="360"/>
      </w:pPr>
      <w:rPr>
        <w:rFonts w:ascii="Wingdings" w:hAnsi="Wingdings" w:hint="default"/>
      </w:rPr>
    </w:lvl>
    <w:lvl w:ilvl="1" w:tplc="7CC895FC">
      <w:start w:val="1"/>
      <w:numFmt w:val="bullet"/>
      <w:lvlText w:val="•"/>
      <w:lvlJc w:val="left"/>
      <w:pPr>
        <w:ind w:left="2520" w:hanging="360"/>
      </w:pPr>
      <w:rPr>
        <w:rFonts w:ascii="Times New Roman" w:hAnsi="Times New Roman" w:hint="default"/>
        <w:b w:val="0"/>
        <w:bCs w:val="0"/>
        <w:i w:val="0"/>
        <w:iCs w:val="0"/>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173792"/>
    <w:multiLevelType w:val="hybridMultilevel"/>
    <w:tmpl w:val="49D0318E"/>
    <w:lvl w:ilvl="0" w:tplc="04090005">
      <w:start w:val="1"/>
      <w:numFmt w:val="bullet"/>
      <w:lvlText w:val=""/>
      <w:lvlJc w:val="left"/>
      <w:pPr>
        <w:ind w:left="1800" w:hanging="360"/>
      </w:pPr>
      <w:rPr>
        <w:rFonts w:ascii="Wingdings" w:hAnsi="Wingdings" w:hint="default"/>
      </w:rPr>
    </w:lvl>
    <w:lvl w:ilvl="1" w:tplc="7CC895FC">
      <w:start w:val="1"/>
      <w:numFmt w:val="bullet"/>
      <w:lvlText w:val="•"/>
      <w:lvlJc w:val="left"/>
      <w:pPr>
        <w:ind w:left="2520" w:hanging="360"/>
      </w:pPr>
      <w:rPr>
        <w:rFonts w:ascii="Times New Roman" w:hAnsi="Times New Roman" w:hint="default"/>
        <w:b w:val="0"/>
        <w:bCs w:val="0"/>
        <w:i w:val="0"/>
        <w:iCs w:val="0"/>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A74B93"/>
    <w:multiLevelType w:val="hybridMultilevel"/>
    <w:tmpl w:val="123279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20629F"/>
    <w:multiLevelType w:val="hybridMultilevel"/>
    <w:tmpl w:val="5E985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B1E80"/>
    <w:multiLevelType w:val="hybridMultilevel"/>
    <w:tmpl w:val="99861010"/>
    <w:lvl w:ilvl="0" w:tplc="04090005">
      <w:start w:val="1"/>
      <w:numFmt w:val="bullet"/>
      <w:lvlText w:val=""/>
      <w:lvlJc w:val="left"/>
      <w:pPr>
        <w:ind w:left="1800" w:hanging="360"/>
      </w:pPr>
      <w:rPr>
        <w:rFonts w:ascii="Wingdings" w:hAnsi="Wingdings" w:hint="default"/>
      </w:rPr>
    </w:lvl>
    <w:lvl w:ilvl="1" w:tplc="7CC895FC">
      <w:start w:val="1"/>
      <w:numFmt w:val="bullet"/>
      <w:lvlText w:val="•"/>
      <w:lvlJc w:val="left"/>
      <w:pPr>
        <w:ind w:left="2520" w:hanging="360"/>
      </w:pPr>
      <w:rPr>
        <w:rFonts w:ascii="Times New Roman" w:hAnsi="Times New Roman" w:hint="default"/>
        <w:b w:val="0"/>
        <w:bCs w:val="0"/>
        <w:i w:val="0"/>
        <w:iCs w:val="0"/>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DD5F95"/>
    <w:multiLevelType w:val="hybridMultilevel"/>
    <w:tmpl w:val="04BAAF50"/>
    <w:lvl w:ilvl="0" w:tplc="A7920F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022EA5"/>
    <w:multiLevelType w:val="hybridMultilevel"/>
    <w:tmpl w:val="5D304E1C"/>
    <w:lvl w:ilvl="0" w:tplc="04090005">
      <w:start w:val="1"/>
      <w:numFmt w:val="bullet"/>
      <w:lvlText w:val=""/>
      <w:lvlJc w:val="left"/>
      <w:pPr>
        <w:ind w:left="1800" w:hanging="360"/>
      </w:pPr>
      <w:rPr>
        <w:rFonts w:ascii="Wingdings" w:hAnsi="Wingdings" w:hint="default"/>
      </w:rPr>
    </w:lvl>
    <w:lvl w:ilvl="1" w:tplc="7CC895FC">
      <w:start w:val="1"/>
      <w:numFmt w:val="bullet"/>
      <w:lvlText w:val="•"/>
      <w:lvlJc w:val="left"/>
      <w:pPr>
        <w:ind w:left="2520" w:hanging="360"/>
      </w:pPr>
      <w:rPr>
        <w:rFonts w:ascii="Times New Roman" w:hAnsi="Times New Roman" w:hint="default"/>
        <w:b w:val="0"/>
        <w:bCs w:val="0"/>
        <w:i w:val="0"/>
        <w:iCs w:val="0"/>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8B09FF"/>
    <w:multiLevelType w:val="multilevel"/>
    <w:tmpl w:val="710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1E1F60"/>
    <w:multiLevelType w:val="hybridMultilevel"/>
    <w:tmpl w:val="E564E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A67A4"/>
    <w:multiLevelType w:val="hybridMultilevel"/>
    <w:tmpl w:val="97621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7CC895FC">
      <w:start w:val="1"/>
      <w:numFmt w:val="bullet"/>
      <w:lvlText w:val="•"/>
      <w:lvlJc w:val="left"/>
      <w:pPr>
        <w:ind w:left="2160" w:hanging="360"/>
      </w:pPr>
      <w:rPr>
        <w:rFonts w:ascii="Times New Roman" w:hAnsi="Times New Roman" w:hint="default"/>
        <w:b w:val="0"/>
        <w:bCs w:val="0"/>
        <w:i w:val="0"/>
        <w:iCs w:val="0"/>
        <w:color w:val="1B1F24"/>
        <w:sz w:val="24"/>
        <w:szCs w:val="24"/>
      </w:rPr>
    </w:lvl>
    <w:lvl w:ilvl="3" w:tplc="7CC895FC">
      <w:start w:val="1"/>
      <w:numFmt w:val="bullet"/>
      <w:lvlText w:val="•"/>
      <w:lvlJc w:val="left"/>
      <w:pPr>
        <w:ind w:left="2880" w:hanging="360"/>
      </w:pPr>
      <w:rPr>
        <w:rFonts w:ascii="Times New Roman" w:hAnsi="Times New Roman" w:hint="default"/>
        <w:b w:val="0"/>
        <w:bCs w:val="0"/>
        <w:i w:val="0"/>
        <w:iCs w:val="0"/>
        <w:sz w:val="24"/>
        <w:szCs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E6EF5"/>
    <w:multiLevelType w:val="hybridMultilevel"/>
    <w:tmpl w:val="CAD611F6"/>
    <w:lvl w:ilvl="0" w:tplc="7CC895FC">
      <w:start w:val="1"/>
      <w:numFmt w:val="bullet"/>
      <w:lvlText w:val="•"/>
      <w:lvlJc w:val="left"/>
      <w:pPr>
        <w:ind w:left="2520" w:hanging="360"/>
      </w:pPr>
      <w:rPr>
        <w:rFonts w:ascii="Times New Roman" w:hAnsi="Times New Roman" w:hint="default"/>
        <w:b w:val="0"/>
        <w:bCs w:val="0"/>
        <w:i w:val="0"/>
        <w:iCs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CD2353C"/>
    <w:multiLevelType w:val="hybridMultilevel"/>
    <w:tmpl w:val="5FEC69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91B7EDA"/>
    <w:multiLevelType w:val="hybridMultilevel"/>
    <w:tmpl w:val="6A628E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07336C"/>
    <w:multiLevelType w:val="hybridMultilevel"/>
    <w:tmpl w:val="C03C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03116"/>
    <w:multiLevelType w:val="hybridMultilevel"/>
    <w:tmpl w:val="C6F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94486"/>
    <w:multiLevelType w:val="hybridMultilevel"/>
    <w:tmpl w:val="04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109CB"/>
    <w:multiLevelType w:val="hybridMultilevel"/>
    <w:tmpl w:val="CF7C5854"/>
    <w:lvl w:ilvl="0" w:tplc="A7920F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19"/>
  </w:num>
  <w:num w:numId="5">
    <w:abstractNumId w:val="14"/>
  </w:num>
  <w:num w:numId="6">
    <w:abstractNumId w:val="22"/>
  </w:num>
  <w:num w:numId="7">
    <w:abstractNumId w:val="5"/>
  </w:num>
  <w:num w:numId="8">
    <w:abstractNumId w:val="11"/>
  </w:num>
  <w:num w:numId="9">
    <w:abstractNumId w:val="2"/>
  </w:num>
  <w:num w:numId="10">
    <w:abstractNumId w:val="13"/>
  </w:num>
  <w:num w:numId="11">
    <w:abstractNumId w:val="15"/>
  </w:num>
  <w:num w:numId="12">
    <w:abstractNumId w:val="4"/>
  </w:num>
  <w:num w:numId="13">
    <w:abstractNumId w:val="17"/>
  </w:num>
  <w:num w:numId="14">
    <w:abstractNumId w:val="18"/>
  </w:num>
  <w:num w:numId="15">
    <w:abstractNumId w:val="10"/>
  </w:num>
  <w:num w:numId="16">
    <w:abstractNumId w:val="7"/>
  </w:num>
  <w:num w:numId="17">
    <w:abstractNumId w:val="6"/>
  </w:num>
  <w:num w:numId="18">
    <w:abstractNumId w:val="12"/>
  </w:num>
  <w:num w:numId="19">
    <w:abstractNumId w:val="16"/>
  </w:num>
  <w:num w:numId="20">
    <w:abstractNumId w:val="8"/>
  </w:num>
  <w:num w:numId="21">
    <w:abstractNumId w:val="9"/>
  </w:num>
  <w:num w:numId="22">
    <w:abstractNumId w:val="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eshia Johnson">
    <w15:presenceInfo w15:providerId="AD" w15:userId="S-1-5-21-2086500257-1188392490-3880406080-88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3D"/>
    <w:rsid w:val="000753CF"/>
    <w:rsid w:val="000A5FBB"/>
    <w:rsid w:val="001B3AC0"/>
    <w:rsid w:val="00212BCF"/>
    <w:rsid w:val="00490361"/>
    <w:rsid w:val="00611552"/>
    <w:rsid w:val="00664884"/>
    <w:rsid w:val="00682777"/>
    <w:rsid w:val="006D14D2"/>
    <w:rsid w:val="006F745E"/>
    <w:rsid w:val="00882AAA"/>
    <w:rsid w:val="009B2440"/>
    <w:rsid w:val="009C6715"/>
    <w:rsid w:val="00DB00C7"/>
    <w:rsid w:val="00DD675A"/>
    <w:rsid w:val="00EC7A3D"/>
    <w:rsid w:val="00FA0AE2"/>
    <w:rsid w:val="00FB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0653"/>
  <w15:chartTrackingRefBased/>
  <w15:docId w15:val="{34E82D84-C5E1-449E-82FC-6D301574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3D"/>
    <w:pPr>
      <w:ind w:left="720"/>
      <w:contextualSpacing/>
    </w:pPr>
  </w:style>
  <w:style w:type="paragraph" w:styleId="Header">
    <w:name w:val="header"/>
    <w:basedOn w:val="Normal"/>
    <w:link w:val="HeaderChar"/>
    <w:uiPriority w:val="99"/>
    <w:unhideWhenUsed/>
    <w:rsid w:val="0088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AAA"/>
  </w:style>
  <w:style w:type="paragraph" w:styleId="Footer">
    <w:name w:val="footer"/>
    <w:basedOn w:val="Normal"/>
    <w:link w:val="FooterChar"/>
    <w:uiPriority w:val="99"/>
    <w:unhideWhenUsed/>
    <w:rsid w:val="0088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AAA"/>
  </w:style>
  <w:style w:type="table" w:customStyle="1" w:styleId="TableGrid1">
    <w:name w:val="Table Grid1"/>
    <w:basedOn w:val="TableNormal"/>
    <w:next w:val="TableGrid"/>
    <w:uiPriority w:val="59"/>
    <w:rsid w:val="00FB53BF"/>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3BF"/>
    <w:rPr>
      <w:sz w:val="16"/>
      <w:szCs w:val="16"/>
    </w:rPr>
  </w:style>
  <w:style w:type="paragraph" w:styleId="CommentText">
    <w:name w:val="annotation text"/>
    <w:basedOn w:val="Normal"/>
    <w:link w:val="CommentTextChar"/>
    <w:uiPriority w:val="99"/>
    <w:semiHidden/>
    <w:unhideWhenUsed/>
    <w:rsid w:val="00FB53BF"/>
    <w:pPr>
      <w:spacing w:line="240" w:lineRule="auto"/>
    </w:pPr>
    <w:rPr>
      <w:sz w:val="20"/>
      <w:szCs w:val="20"/>
    </w:rPr>
  </w:style>
  <w:style w:type="character" w:customStyle="1" w:styleId="CommentTextChar">
    <w:name w:val="Comment Text Char"/>
    <w:basedOn w:val="DefaultParagraphFont"/>
    <w:link w:val="CommentText"/>
    <w:uiPriority w:val="99"/>
    <w:semiHidden/>
    <w:rsid w:val="00FB53BF"/>
    <w:rPr>
      <w:sz w:val="20"/>
      <w:szCs w:val="20"/>
    </w:rPr>
  </w:style>
  <w:style w:type="paragraph" w:styleId="CommentSubject">
    <w:name w:val="annotation subject"/>
    <w:basedOn w:val="CommentText"/>
    <w:next w:val="CommentText"/>
    <w:link w:val="CommentSubjectChar"/>
    <w:uiPriority w:val="99"/>
    <w:semiHidden/>
    <w:unhideWhenUsed/>
    <w:rsid w:val="00FB53BF"/>
    <w:rPr>
      <w:b/>
      <w:bCs/>
    </w:rPr>
  </w:style>
  <w:style w:type="character" w:customStyle="1" w:styleId="CommentSubjectChar">
    <w:name w:val="Comment Subject Char"/>
    <w:basedOn w:val="CommentTextChar"/>
    <w:link w:val="CommentSubject"/>
    <w:uiPriority w:val="99"/>
    <w:semiHidden/>
    <w:rsid w:val="00FB53BF"/>
    <w:rPr>
      <w:b/>
      <w:bCs/>
      <w:sz w:val="20"/>
      <w:szCs w:val="20"/>
    </w:rPr>
  </w:style>
  <w:style w:type="paragraph" w:styleId="BalloonText">
    <w:name w:val="Balloon Text"/>
    <w:basedOn w:val="Normal"/>
    <w:link w:val="BalloonTextChar"/>
    <w:uiPriority w:val="99"/>
    <w:semiHidden/>
    <w:unhideWhenUsed/>
    <w:rsid w:val="00FB5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BF"/>
    <w:rPr>
      <w:rFonts w:ascii="Segoe UI" w:hAnsi="Segoe UI" w:cs="Segoe UI"/>
      <w:sz w:val="18"/>
      <w:szCs w:val="18"/>
    </w:rPr>
  </w:style>
  <w:style w:type="character" w:styleId="Hyperlink">
    <w:name w:val="Hyperlink"/>
    <w:basedOn w:val="DefaultParagraphFont"/>
    <w:uiPriority w:val="99"/>
    <w:unhideWhenUsed/>
    <w:rsid w:val="00FB53BF"/>
    <w:rPr>
      <w:color w:val="0563C1" w:themeColor="hyperlink"/>
      <w:u w:val="single"/>
    </w:rPr>
  </w:style>
  <w:style w:type="character" w:styleId="UnresolvedMention">
    <w:name w:val="Unresolved Mention"/>
    <w:basedOn w:val="DefaultParagraphFont"/>
    <w:uiPriority w:val="99"/>
    <w:semiHidden/>
    <w:unhideWhenUsed/>
    <w:rsid w:val="0007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versityscience.org/training/equal-perinatal-c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www.diversityscience.org/resources-for-racial-trauma/" TargetMode="External"/><Relationship Id="rId4" Type="http://schemas.openxmlformats.org/officeDocument/2006/relationships/settings" Target="settings.xml"/><Relationship Id="rId9" Type="http://schemas.openxmlformats.org/officeDocument/2006/relationships/hyperlink" Target="https://www.diversityscience.org/training/equal-perinatal-care/" TargetMode="External"/><Relationship Id="rId14" Type="http://schemas.openxmlformats.org/officeDocument/2006/relationships/hyperlink" Target="mailto:learning@diversityscien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6CFA-E568-48CE-A57B-19F53431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Preeya W.</cp:lastModifiedBy>
  <cp:revision>2</cp:revision>
  <dcterms:created xsi:type="dcterms:W3CDTF">2021-04-26T15:24:00Z</dcterms:created>
  <dcterms:modified xsi:type="dcterms:W3CDTF">2021-04-26T15:24:00Z</dcterms:modified>
</cp:coreProperties>
</file>