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5CEEF" w14:textId="64A5E868" w:rsidR="000A5FBB" w:rsidRPr="00632630" w:rsidRDefault="00882AAA" w:rsidP="00EC7A3D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632630">
        <w:rPr>
          <w:rFonts w:ascii="Calibri" w:hAnsi="Calibri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24E6D8E0" wp14:editId="6BA67277">
            <wp:simplePos x="0" y="0"/>
            <wp:positionH relativeFrom="column">
              <wp:posOffset>5156835</wp:posOffset>
            </wp:positionH>
            <wp:positionV relativeFrom="paragraph">
              <wp:posOffset>-694377</wp:posOffset>
            </wp:positionV>
            <wp:extent cx="1614391" cy="76200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91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75A" w:rsidRPr="00632630">
        <w:rPr>
          <w:rFonts w:ascii="Calibri" w:hAnsi="Calibri"/>
          <w:b/>
          <w:sz w:val="24"/>
          <w:szCs w:val="24"/>
          <w:u w:val="single"/>
        </w:rPr>
        <w:t xml:space="preserve">Diversity Science </w:t>
      </w:r>
      <w:r w:rsidR="00EC7A3D" w:rsidRPr="00632630">
        <w:rPr>
          <w:rFonts w:ascii="Calibri" w:hAnsi="Calibri"/>
          <w:b/>
          <w:sz w:val="24"/>
          <w:szCs w:val="24"/>
          <w:u w:val="single"/>
        </w:rPr>
        <w:t>Information Sheet</w:t>
      </w:r>
    </w:p>
    <w:p w14:paraId="6420A214" w14:textId="77777777" w:rsidR="00EC7A3D" w:rsidRPr="00632630" w:rsidRDefault="00EC7A3D">
      <w:pPr>
        <w:rPr>
          <w:rFonts w:ascii="Calibri" w:hAnsi="Calibri"/>
          <w:b/>
          <w:sz w:val="24"/>
          <w:szCs w:val="24"/>
        </w:rPr>
      </w:pPr>
      <w:r w:rsidRPr="00632630">
        <w:rPr>
          <w:rFonts w:ascii="Calibri" w:hAnsi="Calibri"/>
          <w:b/>
          <w:sz w:val="24"/>
          <w:szCs w:val="24"/>
        </w:rPr>
        <w:t>Description:</w:t>
      </w:r>
    </w:p>
    <w:p w14:paraId="6244DC46" w14:textId="6B7698BF" w:rsidR="009B2440" w:rsidRPr="00632630" w:rsidRDefault="008B1BA2">
      <w:pPr>
        <w:rPr>
          <w:rFonts w:ascii="Calibri" w:hAnsi="Calibri"/>
          <w:sz w:val="24"/>
          <w:szCs w:val="24"/>
        </w:rPr>
      </w:pPr>
      <w:r w:rsidRPr="00632630">
        <w:rPr>
          <w:rFonts w:ascii="Calibri" w:hAnsi="Calibri" w:cstheme="minorHAnsi"/>
          <w:sz w:val="24"/>
          <w:szCs w:val="24"/>
        </w:rPr>
        <w:t xml:space="preserve">Diversity Science is a public-benefit company that champions an evidence-based approach to equity and inclusion. By translating the latest research into practical and effective tools to create diverse, equitable, and inclusive organizations, </w:t>
      </w:r>
      <w:r w:rsidR="009B2440" w:rsidRPr="00632630">
        <w:rPr>
          <w:rFonts w:ascii="Calibri" w:hAnsi="Calibri" w:cstheme="minorHAnsi"/>
          <w:sz w:val="24"/>
          <w:szCs w:val="24"/>
        </w:rPr>
        <w:t xml:space="preserve">Diversity Science has created the Dignity in Pregnancy and Childbirth </w:t>
      </w:r>
      <w:r w:rsidRPr="00632630">
        <w:rPr>
          <w:rFonts w:ascii="Calibri" w:hAnsi="Calibri" w:cstheme="minorHAnsi"/>
          <w:sz w:val="24"/>
          <w:szCs w:val="24"/>
        </w:rPr>
        <w:t>o</w:t>
      </w:r>
      <w:r w:rsidR="009B2440" w:rsidRPr="00632630">
        <w:rPr>
          <w:rFonts w:ascii="Calibri" w:hAnsi="Calibri" w:cstheme="minorHAnsi"/>
          <w:sz w:val="24"/>
          <w:szCs w:val="24"/>
        </w:rPr>
        <w:t>nline training</w:t>
      </w:r>
      <w:r w:rsidRPr="00632630">
        <w:rPr>
          <w:rFonts w:ascii="Calibri" w:hAnsi="Calibri" w:cstheme="minorHAnsi"/>
          <w:sz w:val="24"/>
          <w:szCs w:val="24"/>
        </w:rPr>
        <w:t>. This training</w:t>
      </w:r>
      <w:r w:rsidR="009B2440" w:rsidRPr="00632630">
        <w:rPr>
          <w:rFonts w:ascii="Calibri" w:hAnsi="Calibri" w:cstheme="minorHAnsi"/>
          <w:sz w:val="24"/>
          <w:szCs w:val="24"/>
        </w:rPr>
        <w:t xml:space="preserve"> consist</w:t>
      </w:r>
      <w:r w:rsidRPr="00632630">
        <w:rPr>
          <w:rFonts w:ascii="Calibri" w:hAnsi="Calibri" w:cstheme="minorHAnsi"/>
          <w:sz w:val="24"/>
          <w:szCs w:val="24"/>
        </w:rPr>
        <w:t>s</w:t>
      </w:r>
      <w:r w:rsidR="009B2440" w:rsidRPr="00632630">
        <w:rPr>
          <w:rFonts w:ascii="Calibri" w:hAnsi="Calibri" w:cstheme="minorHAnsi"/>
          <w:sz w:val="24"/>
          <w:szCs w:val="24"/>
        </w:rPr>
        <w:t xml:space="preserve"> of a 3-module program for perinatal providers that focuses on implicit bias and reproductive </w:t>
      </w:r>
      <w:r w:rsidR="009B2440" w:rsidRPr="00632630">
        <w:rPr>
          <w:rFonts w:ascii="Calibri" w:hAnsi="Calibri"/>
          <w:sz w:val="24"/>
          <w:szCs w:val="24"/>
        </w:rPr>
        <w:t>justice</w:t>
      </w:r>
      <w:r w:rsidR="009B2440" w:rsidRPr="00632630">
        <w:rPr>
          <w:rFonts w:ascii="Calibri" w:hAnsi="Calibri" w:cstheme="minorHAnsi"/>
          <w:sz w:val="24"/>
          <w:szCs w:val="24"/>
        </w:rPr>
        <w:t>. Resources for leaders and clinicians to promote health equity in their clinical practice and their organizations are also available.</w:t>
      </w:r>
      <w:r w:rsidR="009E40D6" w:rsidRPr="00632630">
        <w:rPr>
          <w:rFonts w:ascii="Calibri" w:hAnsi="Calibri" w:cstheme="minorHAnsi"/>
          <w:sz w:val="24"/>
          <w:szCs w:val="24"/>
        </w:rPr>
        <w:t xml:space="preserve">  </w:t>
      </w:r>
      <w:r w:rsidR="00A359E7" w:rsidRPr="00632630">
        <w:rPr>
          <w:rFonts w:ascii="Calibri" w:hAnsi="Calibri"/>
          <w:sz w:val="24"/>
          <w:szCs w:val="24"/>
        </w:rPr>
        <w:t>ILPQC has identified this training as one of the free and scalable maternal health focused equity and bias e-module trainings currently available.</w:t>
      </w:r>
    </w:p>
    <w:p w14:paraId="60ACB33E" w14:textId="10EE5FAF" w:rsidR="00FB53BF" w:rsidRPr="00632630" w:rsidRDefault="00EC7A3D" w:rsidP="00FB53BF">
      <w:pPr>
        <w:rPr>
          <w:rFonts w:ascii="Calibri" w:hAnsi="Calibri"/>
          <w:bCs/>
          <w:sz w:val="24"/>
          <w:szCs w:val="24"/>
        </w:rPr>
      </w:pPr>
      <w:r w:rsidRPr="00632630">
        <w:rPr>
          <w:rFonts w:ascii="Calibri" w:hAnsi="Calibri"/>
          <w:b/>
          <w:sz w:val="24"/>
          <w:szCs w:val="24"/>
        </w:rPr>
        <w:t>Education Content available:</w:t>
      </w:r>
      <w:r w:rsidR="005D57C4" w:rsidRPr="00632630">
        <w:rPr>
          <w:rFonts w:ascii="Calibri" w:hAnsi="Calibri"/>
          <w:b/>
          <w:sz w:val="24"/>
          <w:szCs w:val="24"/>
        </w:rPr>
        <w:t xml:space="preserve"> </w:t>
      </w:r>
      <w:r w:rsidR="005D57C4" w:rsidRPr="00632630">
        <w:rPr>
          <w:rFonts w:ascii="Calibri" w:hAnsi="Calibri"/>
          <w:bCs/>
          <w:sz w:val="24"/>
          <w:szCs w:val="24"/>
        </w:rPr>
        <w:t xml:space="preserve">3 </w:t>
      </w:r>
      <w:r w:rsidR="00A359E7" w:rsidRPr="00632630">
        <w:rPr>
          <w:rFonts w:ascii="Calibri" w:hAnsi="Calibri"/>
          <w:bCs/>
          <w:sz w:val="24"/>
          <w:szCs w:val="24"/>
        </w:rPr>
        <w:t>core e-m</w:t>
      </w:r>
      <w:r w:rsidR="005D57C4" w:rsidRPr="00632630">
        <w:rPr>
          <w:rFonts w:ascii="Calibri" w:hAnsi="Calibri"/>
          <w:bCs/>
          <w:sz w:val="24"/>
          <w:szCs w:val="24"/>
        </w:rPr>
        <w:t>odules</w:t>
      </w:r>
      <w:r w:rsidR="00FE6EE5" w:rsidRPr="00632630">
        <w:rPr>
          <w:rFonts w:ascii="Calibri" w:hAnsi="Calibri"/>
          <w:bCs/>
          <w:sz w:val="24"/>
          <w:szCs w:val="24"/>
        </w:rPr>
        <w:t xml:space="preserve">, </w:t>
      </w:r>
      <w:r w:rsidR="00BE5369" w:rsidRPr="00632630">
        <w:rPr>
          <w:rFonts w:ascii="Calibri" w:hAnsi="Calibri"/>
          <w:bCs/>
          <w:sz w:val="24"/>
          <w:szCs w:val="24"/>
        </w:rPr>
        <w:t xml:space="preserve">with </w:t>
      </w:r>
      <w:r w:rsidR="00A359E7" w:rsidRPr="00632630">
        <w:rPr>
          <w:rFonts w:ascii="Calibri" w:hAnsi="Calibri"/>
          <w:bCs/>
          <w:sz w:val="24"/>
          <w:szCs w:val="24"/>
        </w:rPr>
        <w:t xml:space="preserve">additional </w:t>
      </w:r>
      <w:r w:rsidR="00BE5369" w:rsidRPr="00632630">
        <w:rPr>
          <w:rFonts w:ascii="Calibri" w:hAnsi="Calibri"/>
          <w:bCs/>
          <w:sz w:val="24"/>
          <w:szCs w:val="24"/>
        </w:rPr>
        <w:t>o</w:t>
      </w:r>
      <w:r w:rsidR="005D57C4" w:rsidRPr="00632630">
        <w:rPr>
          <w:rFonts w:ascii="Calibri" w:hAnsi="Calibri"/>
          <w:bCs/>
          <w:sz w:val="24"/>
          <w:szCs w:val="24"/>
        </w:rPr>
        <w:t>ptional eLearning modules for BIPOC providers</w:t>
      </w:r>
      <w:r w:rsidR="00BE5369" w:rsidRPr="00632630">
        <w:rPr>
          <w:rFonts w:ascii="Calibri" w:hAnsi="Calibri"/>
          <w:bCs/>
          <w:sz w:val="24"/>
          <w:szCs w:val="24"/>
        </w:rPr>
        <w:t>.  Also includes additional a</w:t>
      </w:r>
      <w:r w:rsidR="00FE6EE5" w:rsidRPr="00632630">
        <w:rPr>
          <w:rFonts w:ascii="Calibri" w:hAnsi="Calibri"/>
          <w:bCs/>
          <w:sz w:val="24"/>
          <w:szCs w:val="24"/>
        </w:rPr>
        <w:t>ssessments</w:t>
      </w:r>
      <w:r w:rsidR="00904950" w:rsidRPr="00632630">
        <w:rPr>
          <w:rFonts w:ascii="Calibri" w:hAnsi="Calibri"/>
          <w:bCs/>
          <w:sz w:val="24"/>
          <w:szCs w:val="24"/>
        </w:rPr>
        <w:t xml:space="preserve"> &amp; </w:t>
      </w:r>
      <w:r w:rsidR="00BE5369" w:rsidRPr="00632630">
        <w:rPr>
          <w:rFonts w:ascii="Calibri" w:hAnsi="Calibri"/>
          <w:bCs/>
          <w:sz w:val="24"/>
          <w:szCs w:val="24"/>
        </w:rPr>
        <w:t xml:space="preserve">supportive materials. </w:t>
      </w:r>
    </w:p>
    <w:p w14:paraId="3DA573A7" w14:textId="0EE6618A" w:rsidR="008B1BA2" w:rsidRPr="00632630" w:rsidRDefault="008B1BA2" w:rsidP="008B1BA2">
      <w:pPr>
        <w:pStyle w:val="ListParagraph"/>
        <w:numPr>
          <w:ilvl w:val="0"/>
          <w:numId w:val="24"/>
        </w:numPr>
        <w:rPr>
          <w:rFonts w:ascii="Calibri" w:hAnsi="Calibri" w:cstheme="minorHAnsi"/>
          <w:b/>
          <w:bCs/>
          <w:sz w:val="24"/>
          <w:szCs w:val="24"/>
        </w:rPr>
      </w:pPr>
      <w:r w:rsidRPr="00632630">
        <w:rPr>
          <w:rFonts w:ascii="Calibri" w:hAnsi="Calibri" w:cstheme="minorHAnsi"/>
          <w:sz w:val="24"/>
          <w:szCs w:val="24"/>
        </w:rPr>
        <w:t>Module 1:</w:t>
      </w:r>
      <w:r w:rsidRPr="00632630">
        <w:rPr>
          <w:rFonts w:ascii="Calibri" w:hAnsi="Calibri" w:cstheme="minorHAnsi"/>
          <w:b/>
          <w:bCs/>
          <w:sz w:val="24"/>
          <w:szCs w:val="24"/>
        </w:rPr>
        <w:t xml:space="preserve"> Laying the Groundwork</w:t>
      </w:r>
    </w:p>
    <w:p w14:paraId="3C0AF57A" w14:textId="48CC2C91" w:rsidR="008B1BA2" w:rsidRPr="00632630" w:rsidRDefault="008B1BA2" w:rsidP="008B1BA2">
      <w:pPr>
        <w:pStyle w:val="ListParagraph"/>
        <w:numPr>
          <w:ilvl w:val="0"/>
          <w:numId w:val="24"/>
        </w:numPr>
        <w:rPr>
          <w:rFonts w:ascii="Calibri" w:hAnsi="Calibri" w:cstheme="minorHAnsi"/>
          <w:b/>
          <w:bCs/>
          <w:sz w:val="24"/>
          <w:szCs w:val="24"/>
        </w:rPr>
      </w:pPr>
      <w:r w:rsidRPr="00632630">
        <w:rPr>
          <w:rFonts w:ascii="Calibri" w:hAnsi="Calibri" w:cstheme="minorHAnsi"/>
          <w:sz w:val="24"/>
          <w:szCs w:val="24"/>
        </w:rPr>
        <w:t>Module 2:</w:t>
      </w:r>
      <w:r w:rsidRPr="00632630">
        <w:rPr>
          <w:rFonts w:ascii="Calibri" w:hAnsi="Calibri" w:cstheme="minorHAnsi"/>
          <w:b/>
          <w:bCs/>
          <w:sz w:val="24"/>
          <w:szCs w:val="24"/>
        </w:rPr>
        <w:t xml:space="preserve"> Racism not Race</w:t>
      </w:r>
    </w:p>
    <w:p w14:paraId="62BC2D0C" w14:textId="7DAFE8F7" w:rsidR="008B1BA2" w:rsidRPr="00632630" w:rsidRDefault="008B1BA2" w:rsidP="008B1BA2">
      <w:pPr>
        <w:pStyle w:val="ListParagraph"/>
        <w:numPr>
          <w:ilvl w:val="0"/>
          <w:numId w:val="24"/>
        </w:numPr>
        <w:rPr>
          <w:rFonts w:ascii="Calibri" w:hAnsi="Calibri" w:cstheme="minorHAnsi"/>
          <w:b/>
          <w:bCs/>
          <w:sz w:val="24"/>
          <w:szCs w:val="24"/>
        </w:rPr>
      </w:pPr>
      <w:r w:rsidRPr="00632630">
        <w:rPr>
          <w:rFonts w:ascii="Calibri" w:hAnsi="Calibri" w:cstheme="minorHAnsi"/>
          <w:sz w:val="24"/>
          <w:szCs w:val="24"/>
        </w:rPr>
        <w:t>Module 3:</w:t>
      </w:r>
      <w:r w:rsidRPr="00632630">
        <w:rPr>
          <w:rFonts w:ascii="Calibri" w:hAnsi="Calibri" w:cstheme="minorHAnsi"/>
          <w:b/>
          <w:bCs/>
          <w:sz w:val="24"/>
          <w:szCs w:val="24"/>
        </w:rPr>
        <w:t xml:space="preserve"> Taking Action</w:t>
      </w:r>
    </w:p>
    <w:p w14:paraId="67B33535" w14:textId="77777777" w:rsidR="00EC7A3D" w:rsidRPr="00632630" w:rsidRDefault="00EC7A3D" w:rsidP="00FB53BF">
      <w:pPr>
        <w:rPr>
          <w:rFonts w:ascii="Calibri" w:hAnsi="Calibri"/>
          <w:b/>
          <w:sz w:val="24"/>
          <w:szCs w:val="24"/>
        </w:rPr>
      </w:pPr>
      <w:r w:rsidRPr="00632630">
        <w:rPr>
          <w:rFonts w:ascii="Calibri" w:hAnsi="Calibri"/>
          <w:b/>
          <w:sz w:val="24"/>
          <w:szCs w:val="24"/>
        </w:rPr>
        <w:t>Access Information:</w:t>
      </w:r>
    </w:p>
    <w:p w14:paraId="064DA10C" w14:textId="7AEDABB3" w:rsidR="00BE5369" w:rsidRPr="00632630" w:rsidRDefault="00BE5369" w:rsidP="00DD675A">
      <w:pPr>
        <w:rPr>
          <w:rFonts w:ascii="Calibri" w:hAnsi="Calibri" w:cstheme="minorHAnsi"/>
          <w:sz w:val="24"/>
          <w:szCs w:val="24"/>
        </w:rPr>
      </w:pPr>
      <w:r w:rsidRPr="00632630">
        <w:rPr>
          <w:rFonts w:ascii="Calibri" w:hAnsi="Calibri" w:cstheme="minorHAnsi"/>
          <w:sz w:val="24"/>
          <w:szCs w:val="24"/>
        </w:rPr>
        <w:t xml:space="preserve">ILPQC has partnered with Diversity Science to provide exclusive online access to their e-modules and materials.  This access is available to all ILPQC hospital teams participating in the Birth Equity (BE) Initiative.  ILPQC BE hospitals will also </w:t>
      </w:r>
      <w:r w:rsidR="00A359E7" w:rsidRPr="00632630">
        <w:rPr>
          <w:rFonts w:ascii="Calibri" w:hAnsi="Calibri" w:cstheme="minorHAnsi"/>
          <w:sz w:val="24"/>
          <w:szCs w:val="24"/>
        </w:rPr>
        <w:t xml:space="preserve">have access to </w:t>
      </w:r>
      <w:r w:rsidRPr="00632630">
        <w:rPr>
          <w:rFonts w:ascii="Calibri" w:hAnsi="Calibri" w:cstheme="minorHAnsi"/>
          <w:sz w:val="24"/>
          <w:szCs w:val="24"/>
        </w:rPr>
        <w:t xml:space="preserve">the resources and support to add e-modules to their online hospital learning systems. </w:t>
      </w:r>
    </w:p>
    <w:p w14:paraId="0E3A6F2D" w14:textId="4E929F62" w:rsidR="00BE5369" w:rsidRPr="00632630" w:rsidRDefault="00BE5369" w:rsidP="00DD675A">
      <w:pPr>
        <w:rPr>
          <w:rFonts w:ascii="Calibri" w:hAnsi="Calibri" w:cstheme="minorHAnsi"/>
          <w:sz w:val="24"/>
          <w:szCs w:val="24"/>
        </w:rPr>
      </w:pPr>
      <w:r w:rsidRPr="00632630">
        <w:rPr>
          <w:rFonts w:ascii="Calibri" w:hAnsi="Calibri" w:cstheme="minorHAnsi"/>
          <w:sz w:val="24"/>
          <w:szCs w:val="24"/>
        </w:rPr>
        <w:t>Information and login</w:t>
      </w:r>
      <w:r w:rsidR="00A359E7" w:rsidRPr="00632630">
        <w:rPr>
          <w:rFonts w:ascii="Calibri" w:hAnsi="Calibri" w:cstheme="minorHAnsi"/>
          <w:sz w:val="24"/>
          <w:szCs w:val="24"/>
        </w:rPr>
        <w:t xml:space="preserve"> for hospitals participating in the ILPQC Birth Equity Initiative</w:t>
      </w:r>
      <w:r w:rsidRPr="00632630">
        <w:rPr>
          <w:rFonts w:ascii="Calibri" w:hAnsi="Calibri" w:cstheme="minorHAnsi"/>
          <w:sz w:val="24"/>
          <w:szCs w:val="24"/>
        </w:rPr>
        <w:t xml:space="preserve"> </w:t>
      </w:r>
      <w:r w:rsidR="00A359E7" w:rsidRPr="00632630">
        <w:rPr>
          <w:rFonts w:ascii="Calibri" w:hAnsi="Calibri" w:cstheme="minorHAnsi"/>
          <w:sz w:val="24"/>
          <w:szCs w:val="24"/>
        </w:rPr>
        <w:t xml:space="preserve">will be </w:t>
      </w:r>
      <w:r w:rsidRPr="00632630">
        <w:rPr>
          <w:rFonts w:ascii="Calibri" w:hAnsi="Calibri" w:cstheme="minorHAnsi"/>
          <w:sz w:val="24"/>
          <w:szCs w:val="24"/>
        </w:rPr>
        <w:t xml:space="preserve">available at </w:t>
      </w:r>
      <w:r w:rsidR="00A359E7" w:rsidRPr="00632630">
        <w:rPr>
          <w:rFonts w:ascii="Calibri" w:hAnsi="Calibri" w:cstheme="minorHAnsi"/>
          <w:sz w:val="24"/>
          <w:szCs w:val="24"/>
        </w:rPr>
        <w:t>diversityscience.org/ilpqc</w:t>
      </w:r>
      <w:r w:rsidR="00803393" w:rsidRPr="00632630">
        <w:rPr>
          <w:rFonts w:ascii="Calibri" w:hAnsi="Calibri" w:cstheme="minorHAnsi"/>
          <w:sz w:val="24"/>
          <w:szCs w:val="24"/>
        </w:rPr>
        <w:t xml:space="preserve"> </w:t>
      </w:r>
      <w:r w:rsidR="00A359E7" w:rsidRPr="00632630">
        <w:rPr>
          <w:rFonts w:ascii="Calibri" w:hAnsi="Calibri" w:cstheme="minorHAnsi"/>
          <w:sz w:val="24"/>
          <w:szCs w:val="24"/>
        </w:rPr>
        <w:t>in summer 2021.</w:t>
      </w:r>
    </w:p>
    <w:p w14:paraId="7D19EE6D" w14:textId="4AC1152F" w:rsidR="00FB53BF" w:rsidRPr="00632630" w:rsidRDefault="00FB53BF">
      <w:pPr>
        <w:rPr>
          <w:rFonts w:ascii="Calibri" w:hAnsi="Calibri" w:cstheme="minorHAnsi"/>
          <w:sz w:val="24"/>
          <w:szCs w:val="24"/>
        </w:rPr>
      </w:pPr>
    </w:p>
    <w:p w14:paraId="69FB857F" w14:textId="063C6792" w:rsidR="000753CF" w:rsidRPr="00632630" w:rsidRDefault="00FB53BF" w:rsidP="00423A12">
      <w:pPr>
        <w:rPr>
          <w:rFonts w:ascii="Calibri" w:eastAsia="Calibri" w:hAnsi="Calibri" w:cstheme="minorHAnsi"/>
          <w:b/>
          <w:sz w:val="24"/>
          <w:szCs w:val="24"/>
          <w:u w:val="single"/>
        </w:rPr>
      </w:pPr>
      <w:r w:rsidRPr="00632630">
        <w:rPr>
          <w:rFonts w:ascii="Calibri" w:eastAsia="Calibri" w:hAnsi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1F2B790" wp14:editId="71004706">
                <wp:extent cx="5495925" cy="1978926"/>
                <wp:effectExtent l="19050" t="19050" r="28575" b="2159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978926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  <a:alpha val="49804"/>
                          </a:srgbClr>
                        </a:solidFill>
                        <a:ln w="28575">
                          <a:solidFill>
                            <a:srgbClr val="004990"/>
                          </a:solidFill>
                        </a:ln>
                        <a:effectLst/>
                      </wps:spPr>
                      <wps:txbx>
                        <w:txbxContent>
                          <w:p w14:paraId="278D37ED" w14:textId="77777777" w:rsidR="00FB53BF" w:rsidRPr="00FB53BF" w:rsidRDefault="00FB53BF" w:rsidP="00FB53B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u w:val="single"/>
                              </w:rPr>
                            </w:pPr>
                            <w:r w:rsidRPr="00FB53BF">
                              <w:rPr>
                                <w:rFonts w:ascii="Bookman Old Style" w:hAnsi="Bookman Old Style"/>
                                <w:color w:val="000000"/>
                                <w:u w:val="single"/>
                              </w:rPr>
                              <w:t>Implementation strategies for the QI team</w:t>
                            </w:r>
                          </w:p>
                          <w:p w14:paraId="6FA7478D" w14:textId="77777777" w:rsidR="00FB53BF" w:rsidRPr="00423A12" w:rsidRDefault="00FB53BF" w:rsidP="00FB53BF">
                            <w:pPr>
                              <w:rPr>
                                <w:rFonts w:ascii="Century Gothic" w:hAnsi="Century Gothic" w:cs="Calibri"/>
                                <w:color w:val="000000"/>
                              </w:rPr>
                            </w:pPr>
                            <w:r w:rsidRPr="00423A12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Two pathways for implementation: </w:t>
                            </w:r>
                          </w:p>
                          <w:p w14:paraId="7F70DEDC" w14:textId="0E918AC0" w:rsidR="00FB53BF" w:rsidRPr="00423A12" w:rsidRDefault="00FB53BF" w:rsidP="00FB53B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="Calibri"/>
                                <w:color w:val="000000"/>
                              </w:rPr>
                            </w:pPr>
                            <w:r w:rsidRPr="00423A12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QI team works with Diversity </w:t>
                            </w:r>
                            <w:r w:rsidR="0080339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S</w:t>
                            </w:r>
                            <w:r w:rsidR="00803393" w:rsidRPr="00423A12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cience </w:t>
                            </w:r>
                            <w:r w:rsidRPr="00423A12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to assist with full integration of e-modules into the hospital/institution online electronic learning system</w:t>
                            </w:r>
                          </w:p>
                          <w:p w14:paraId="28229AD4" w14:textId="6165550E" w:rsidR="00FB53BF" w:rsidRPr="00423A12" w:rsidRDefault="00FB53BF" w:rsidP="00FB53B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="Calibri"/>
                                <w:color w:val="000000"/>
                              </w:rPr>
                            </w:pPr>
                            <w:r w:rsidRPr="00423A12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QI team provides </w:t>
                            </w:r>
                            <w:r w:rsidR="0080339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instructions for</w:t>
                            </w:r>
                            <w:r w:rsidRPr="00423A12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 hospital staff members</w:t>
                            </w:r>
                            <w:r w:rsidR="0080339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 to </w:t>
                            </w:r>
                            <w:r w:rsidRPr="00423A12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access ILPQC Diversity Science e-module trainings</w:t>
                            </w:r>
                            <w:r w:rsidR="0080339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 directly as individuals. </w:t>
                            </w:r>
                            <w:r w:rsidRPr="00423A12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529A8910" w14:textId="77777777" w:rsidR="00FB53BF" w:rsidRPr="00FB53BF" w:rsidRDefault="00FB53BF" w:rsidP="00FB53BF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  <w:p w14:paraId="0D8900AF" w14:textId="77777777" w:rsidR="00FB53BF" w:rsidRDefault="00FB53BF" w:rsidP="00FB5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1F2B790" id="Rounded Rectangle 1" o:spid="_x0000_s1026" style="width:432.75pt;height:1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8VfgIAAAgFAAAOAAAAZHJzL2Uyb0RvYy54bWysVN1P2zAQf5+0/8Hy+0haJdBUpKgCMU1i&#10;gICJZ9dxmkiOzzu7Tdhfv7OTQmF7mvbi+D58H7/7Xc4vhk6zvULXgin57CTlTBkJVWu2Jf/xdP1l&#10;wZnzwlRCg1Elf1GOX6w+fzrv7VLNoQFdKWQUxLhlb0veeG+XSeJkozrhTsAqQ8YasBOeRNwmFYqe&#10;onc6mafpadIDVhZBKudIezUa+SrGr2sl/V1dO+WZLjnV5uOJ8dyEM1mdi+UWhW1aOZUh/qGKTrSG&#10;kr6GuhJesB22f4TqWongoPYnEroE6rqVKvZA3czSD908NsKq2AuB4+wrTO7/hZW3+3tkbUWz48yI&#10;jkb0ADtTqYo9EHjCbLViswBTb92SvB/tPU6So2voeaixC1/qhg0R2pdXaNXgmSRlnhV5Mc85k2Sb&#10;FWeLYn4aoiZvzy06/1VBx8Kl5BjKCDVEXMX+xvnR/+AXUjrQbXXdah0F3G4uNbK9oGFnWZ6druNb&#10;veu+QzWqiTPpNHVSEzdG9eJNLbRtxBSjWKTZVKUbg8eK32XVhvUlny/yszxme2ecXo3h0jQripic&#10;uj5yI0mb0ICKhJ0aDXiPCIebHzbDBPsGqheaGcJIZmfldUuI3Qjn7wUSe4nntJH+jo5aAxUH042z&#10;BvDX3/TBn0hFVs562oaSu587gYoz/c0Q3YpZloX1iUKWn81JwGPL5thidt0l0AyIUlRdvAZ/rw/X&#10;GqF7psVdh6xkEkZS7pJLjwfh0o9bSqsv1Xod3WhlrPA35tHKEDxAFsjwNDwLtBNtPDHuFg6bI5Yf&#10;iDP6hpcG1jsPdRtZFSAecaUBB4HWLY56+jWEfT6Wo9fbD2z1GwAA//8DAFBLAwQUAAYACAAAACEA&#10;ZsmzGt0AAAAFAQAADwAAAGRycy9kb3ducmV2LnhtbEyPwU7DMBBE70j8g7VIXCrqBNSoSuNUFYgj&#10;SE05cHTibRyw12nstKFfX8OlXFYazWjmbbGerGFHHHznSEA6T4AhNU511Ar42L0+LIH5IElJ4wgF&#10;/KCHdXl7U8hcuRNt8ViFlsUS8rkUoEPoc859o9FKP3c9UvT2brAyRDm0XA3yFMut4Y9JknErO4oL&#10;Wvb4rLH5rkYrYKob/f55Ps8y86ZDNR5etn72JcT93bRZAQs4hWsYfvEjOpSRqXYjKc+MgPhI+LvR&#10;W2aLBbBawFOaZsDLgv+nLy8AAAD//wMAUEsBAi0AFAAGAAgAAAAhALaDOJL+AAAA4QEAABMAAAAA&#10;AAAAAAAAAAAAAAAAAFtDb250ZW50X1R5cGVzXS54bWxQSwECLQAUAAYACAAAACEAOP0h/9YAAACU&#10;AQAACwAAAAAAAAAAAAAAAAAvAQAAX3JlbHMvLnJlbHNQSwECLQAUAAYACAAAACEArx9PFX4CAAAI&#10;BQAADgAAAAAAAAAAAAAAAAAuAgAAZHJzL2Uyb0RvYy54bWxQSwECLQAUAAYACAAAACEAZsmzGt0A&#10;AAAFAQAADwAAAAAAAAAAAAAAAADYBAAAZHJzL2Rvd25yZXYueG1sUEsFBgAAAAAEAAQA8wAAAOIF&#10;AAAAAA==&#10;" fillcolor="#d6dce5" strokecolor="#004990" strokeweight="2.25pt">
                <v:fill opacity="32639f"/>
                <v:textbox>
                  <w:txbxContent>
                    <w:p w14:paraId="278D37ED" w14:textId="77777777" w:rsidR="00FB53BF" w:rsidRPr="00FB53BF" w:rsidRDefault="00FB53BF" w:rsidP="00FB53BF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u w:val="single"/>
                        </w:rPr>
                      </w:pPr>
                      <w:r w:rsidRPr="00FB53BF">
                        <w:rPr>
                          <w:rFonts w:ascii="Bookman Old Style" w:hAnsi="Bookman Old Style"/>
                          <w:color w:val="000000"/>
                          <w:u w:val="single"/>
                        </w:rPr>
                        <w:t>Implementation strategies for the QI team</w:t>
                      </w:r>
                    </w:p>
                    <w:p w14:paraId="6FA7478D" w14:textId="77777777" w:rsidR="00FB53BF" w:rsidRPr="00423A12" w:rsidRDefault="00FB53BF" w:rsidP="00FB53BF">
                      <w:pPr>
                        <w:rPr>
                          <w:rFonts w:ascii="Century Gothic" w:hAnsi="Century Gothic" w:cs="Calibri"/>
                          <w:color w:val="000000"/>
                        </w:rPr>
                      </w:pPr>
                      <w:r w:rsidRPr="00423A12">
                        <w:rPr>
                          <w:rFonts w:ascii="Century Gothic" w:hAnsi="Century Gothic" w:cs="Calibri"/>
                          <w:color w:val="000000"/>
                        </w:rPr>
                        <w:t xml:space="preserve">Two pathways for implementation: </w:t>
                      </w:r>
                    </w:p>
                    <w:p w14:paraId="7F70DEDC" w14:textId="0E918AC0" w:rsidR="00FB53BF" w:rsidRPr="00423A12" w:rsidRDefault="00FB53BF" w:rsidP="00FB53BF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="Calibri"/>
                          <w:color w:val="000000"/>
                        </w:rPr>
                      </w:pPr>
                      <w:r w:rsidRPr="00423A12">
                        <w:rPr>
                          <w:rFonts w:ascii="Century Gothic" w:hAnsi="Century Gothic" w:cs="Calibri"/>
                          <w:color w:val="000000"/>
                        </w:rPr>
                        <w:t xml:space="preserve">QI team works with Diversity </w:t>
                      </w:r>
                      <w:r w:rsidR="00803393">
                        <w:rPr>
                          <w:rFonts w:ascii="Century Gothic" w:hAnsi="Century Gothic" w:cs="Calibri"/>
                          <w:color w:val="000000"/>
                        </w:rPr>
                        <w:t>S</w:t>
                      </w:r>
                      <w:r w:rsidR="00803393" w:rsidRPr="00423A12">
                        <w:rPr>
                          <w:rFonts w:ascii="Century Gothic" w:hAnsi="Century Gothic" w:cs="Calibri"/>
                          <w:color w:val="000000"/>
                        </w:rPr>
                        <w:t xml:space="preserve">cience </w:t>
                      </w:r>
                      <w:r w:rsidRPr="00423A12">
                        <w:rPr>
                          <w:rFonts w:ascii="Century Gothic" w:hAnsi="Century Gothic" w:cs="Calibri"/>
                          <w:color w:val="000000"/>
                        </w:rPr>
                        <w:t>to assist with full integration of e-modules into the hospital/institution online electronic learning system</w:t>
                      </w:r>
                    </w:p>
                    <w:p w14:paraId="28229AD4" w14:textId="6165550E" w:rsidR="00FB53BF" w:rsidRPr="00423A12" w:rsidRDefault="00FB53BF" w:rsidP="00FB53BF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="Calibri"/>
                          <w:color w:val="000000"/>
                        </w:rPr>
                      </w:pPr>
                      <w:r w:rsidRPr="00423A12">
                        <w:rPr>
                          <w:rFonts w:ascii="Century Gothic" w:hAnsi="Century Gothic" w:cs="Calibri"/>
                          <w:color w:val="000000"/>
                        </w:rPr>
                        <w:t xml:space="preserve">QI team provides </w:t>
                      </w:r>
                      <w:r w:rsidR="00803393">
                        <w:rPr>
                          <w:rFonts w:ascii="Century Gothic" w:hAnsi="Century Gothic" w:cs="Calibri"/>
                          <w:color w:val="000000"/>
                        </w:rPr>
                        <w:t>instructions for</w:t>
                      </w:r>
                      <w:r w:rsidRPr="00423A12">
                        <w:rPr>
                          <w:rFonts w:ascii="Century Gothic" w:hAnsi="Century Gothic" w:cs="Calibri"/>
                          <w:color w:val="000000"/>
                        </w:rPr>
                        <w:t xml:space="preserve"> hospital staff members</w:t>
                      </w:r>
                      <w:r w:rsidR="00803393">
                        <w:rPr>
                          <w:rFonts w:ascii="Century Gothic" w:hAnsi="Century Gothic" w:cs="Calibri"/>
                          <w:color w:val="000000"/>
                        </w:rPr>
                        <w:t xml:space="preserve"> to </w:t>
                      </w:r>
                      <w:r w:rsidRPr="00423A12">
                        <w:rPr>
                          <w:rFonts w:ascii="Century Gothic" w:hAnsi="Century Gothic" w:cs="Calibri"/>
                          <w:color w:val="000000"/>
                        </w:rPr>
                        <w:t>access ILPQC Diversity Science e-module trainings</w:t>
                      </w:r>
                      <w:r w:rsidR="00803393">
                        <w:rPr>
                          <w:rFonts w:ascii="Century Gothic" w:hAnsi="Century Gothic" w:cs="Calibri"/>
                          <w:color w:val="000000"/>
                        </w:rPr>
                        <w:t xml:space="preserve"> directly as individuals. </w:t>
                      </w:r>
                      <w:r w:rsidRPr="00423A12">
                        <w:rPr>
                          <w:rFonts w:ascii="Century Gothic" w:hAnsi="Century Gothic" w:cs="Calibri"/>
                          <w:color w:val="000000"/>
                        </w:rPr>
                        <w:t xml:space="preserve"> </w:t>
                      </w:r>
                    </w:p>
                    <w:p w14:paraId="529A8910" w14:textId="77777777" w:rsidR="00FB53BF" w:rsidRPr="00FB53BF" w:rsidRDefault="00FB53BF" w:rsidP="00FB53BF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  <w:p w14:paraId="0D8900AF" w14:textId="77777777" w:rsidR="00FB53BF" w:rsidRDefault="00FB53BF" w:rsidP="00FB53BF"/>
                  </w:txbxContent>
                </v:textbox>
                <w10:anchorlock/>
              </v:roundrect>
            </w:pict>
          </mc:Fallback>
        </mc:AlternateContent>
      </w:r>
    </w:p>
    <w:p w14:paraId="2F28F325" w14:textId="6CF7BD85" w:rsidR="00803393" w:rsidRPr="00632630" w:rsidRDefault="00803393" w:rsidP="00C64FE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772E7EF0" w14:textId="77777777" w:rsidR="00102BB0" w:rsidRPr="00632630" w:rsidRDefault="00102BB0" w:rsidP="00C64FE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78C95066" w14:textId="77777777" w:rsidR="00632630" w:rsidRDefault="00632630" w:rsidP="00C64FE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4A0310CD" w14:textId="77777777" w:rsidR="00632630" w:rsidRDefault="00632630" w:rsidP="00C64FE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3EF61E13" w14:textId="77777777" w:rsidR="00632630" w:rsidRDefault="00632630" w:rsidP="00C64FE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75B3E94D" w14:textId="72A855F2" w:rsidR="00C64FE6" w:rsidRPr="00632630" w:rsidRDefault="00102BB0" w:rsidP="00C64FE6">
      <w:pPr>
        <w:jc w:val="center"/>
        <w:rPr>
          <w:rFonts w:ascii="Calibri" w:hAnsi="Calibri"/>
          <w:b/>
          <w:sz w:val="24"/>
          <w:szCs w:val="24"/>
          <w:u w:val="single"/>
        </w:rPr>
      </w:pPr>
      <w:bookmarkStart w:id="0" w:name="_GoBack"/>
      <w:bookmarkEnd w:id="0"/>
      <w:r w:rsidRPr="00632630">
        <w:rPr>
          <w:rFonts w:ascii="Calibri" w:hAnsi="Calibri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1F52035B" wp14:editId="1AB03C41">
            <wp:simplePos x="0" y="0"/>
            <wp:positionH relativeFrom="column">
              <wp:posOffset>5012055</wp:posOffset>
            </wp:positionH>
            <wp:positionV relativeFrom="paragraph">
              <wp:posOffset>-625153</wp:posOffset>
            </wp:positionV>
            <wp:extent cx="1614170" cy="7620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FE6" w:rsidRPr="00632630">
        <w:rPr>
          <w:rFonts w:ascii="Calibri" w:hAnsi="Calibri"/>
          <w:b/>
          <w:sz w:val="24"/>
          <w:szCs w:val="24"/>
          <w:u w:val="single"/>
        </w:rPr>
        <w:t>Diversity Science:</w:t>
      </w:r>
      <w:r w:rsidR="005D57C4" w:rsidRPr="00632630">
        <w:rPr>
          <w:rFonts w:ascii="Calibri" w:hAnsi="Calibri"/>
          <w:b/>
          <w:noProof/>
          <w:sz w:val="24"/>
          <w:szCs w:val="24"/>
          <w:u w:val="single"/>
        </w:rPr>
        <w:t xml:space="preserve"> </w:t>
      </w:r>
    </w:p>
    <w:p w14:paraId="7F3A80A1" w14:textId="286A1AAD" w:rsidR="00C64FE6" w:rsidRPr="00632630" w:rsidRDefault="00C64FE6" w:rsidP="00C64FE6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632630">
        <w:rPr>
          <w:rFonts w:ascii="Calibri" w:hAnsi="Calibri"/>
          <w:b/>
          <w:sz w:val="24"/>
          <w:szCs w:val="24"/>
          <w:u w:val="single"/>
        </w:rPr>
        <w:t xml:space="preserve">Expanded Education Information </w:t>
      </w:r>
    </w:p>
    <w:p w14:paraId="552F87A6" w14:textId="40A2E9EC" w:rsidR="005D57C4" w:rsidRPr="00632630" w:rsidRDefault="005D57C4" w:rsidP="005D57C4">
      <w:pPr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 xml:space="preserve">Each module </w:t>
      </w:r>
      <w:r w:rsidR="00C14998" w:rsidRPr="00632630">
        <w:rPr>
          <w:rFonts w:ascii="Calibri" w:hAnsi="Calibri"/>
          <w:sz w:val="24"/>
          <w:szCs w:val="24"/>
        </w:rPr>
        <w:t>follows the story of a different mother</w:t>
      </w:r>
      <w:r w:rsidR="005768C3" w:rsidRPr="00632630">
        <w:rPr>
          <w:rFonts w:ascii="Calibri" w:hAnsi="Calibri"/>
          <w:sz w:val="24"/>
          <w:szCs w:val="24"/>
        </w:rPr>
        <w:t xml:space="preserve"> </w:t>
      </w:r>
      <w:r w:rsidR="006167F9" w:rsidRPr="00632630">
        <w:rPr>
          <w:rFonts w:ascii="Calibri" w:hAnsi="Calibri"/>
          <w:sz w:val="24"/>
          <w:szCs w:val="24"/>
        </w:rPr>
        <w:t xml:space="preserve">and </w:t>
      </w:r>
      <w:r w:rsidRPr="00632630">
        <w:rPr>
          <w:rFonts w:ascii="Calibri" w:hAnsi="Calibri"/>
          <w:sz w:val="24"/>
          <w:szCs w:val="24"/>
        </w:rPr>
        <w:t xml:space="preserve">incorporates </w:t>
      </w:r>
      <w:r w:rsidR="005768C3" w:rsidRPr="00632630">
        <w:rPr>
          <w:rFonts w:ascii="Calibri" w:hAnsi="Calibri"/>
          <w:sz w:val="24"/>
          <w:szCs w:val="24"/>
        </w:rPr>
        <w:t xml:space="preserve">videos, assessments, </w:t>
      </w:r>
      <w:r w:rsidRPr="00632630">
        <w:rPr>
          <w:rFonts w:ascii="Calibri" w:hAnsi="Calibri"/>
          <w:sz w:val="24"/>
          <w:szCs w:val="24"/>
        </w:rPr>
        <w:t>and next steps with a list of related resources</w:t>
      </w:r>
      <w:r w:rsidR="005768C3" w:rsidRPr="00632630">
        <w:rPr>
          <w:rFonts w:ascii="Calibri" w:hAnsi="Calibri"/>
          <w:sz w:val="24"/>
          <w:szCs w:val="24"/>
        </w:rPr>
        <w:t xml:space="preserve"> and printable PDF</w:t>
      </w:r>
      <w:r w:rsidR="00016635" w:rsidRPr="00632630">
        <w:rPr>
          <w:rFonts w:ascii="Calibri" w:hAnsi="Calibri"/>
          <w:sz w:val="24"/>
          <w:szCs w:val="24"/>
        </w:rPr>
        <w:t>s</w:t>
      </w:r>
      <w:r w:rsidRPr="00632630">
        <w:rPr>
          <w:rFonts w:ascii="Calibri" w:hAnsi="Calibri"/>
          <w:sz w:val="24"/>
          <w:szCs w:val="24"/>
        </w:rPr>
        <w:t xml:space="preserve">. </w:t>
      </w:r>
    </w:p>
    <w:p w14:paraId="45F41954" w14:textId="43918E19" w:rsidR="005D57C4" w:rsidRPr="00632630" w:rsidRDefault="005D57C4" w:rsidP="005D57C4">
      <w:p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b/>
          <w:sz w:val="24"/>
          <w:szCs w:val="24"/>
          <w:u w:val="single"/>
        </w:rPr>
        <w:t>Module 1</w:t>
      </w:r>
      <w:r w:rsidRPr="00632630">
        <w:rPr>
          <w:rFonts w:ascii="Calibri" w:hAnsi="Calibri"/>
          <w:sz w:val="24"/>
          <w:szCs w:val="24"/>
        </w:rPr>
        <w:t xml:space="preserve">, </w:t>
      </w:r>
      <w:r w:rsidR="00C14998" w:rsidRPr="00632630">
        <w:rPr>
          <w:rFonts w:ascii="Calibri" w:hAnsi="Calibri"/>
          <w:b/>
          <w:sz w:val="24"/>
          <w:szCs w:val="24"/>
        </w:rPr>
        <w:t>Laying the Groundwork</w:t>
      </w:r>
      <w:r w:rsidRPr="00632630">
        <w:rPr>
          <w:rFonts w:ascii="Calibri" w:hAnsi="Calibri"/>
          <w:sz w:val="24"/>
          <w:szCs w:val="24"/>
        </w:rPr>
        <w:t xml:space="preserve">, </w:t>
      </w:r>
      <w:r w:rsidR="00C14998" w:rsidRPr="00632630">
        <w:rPr>
          <w:rFonts w:ascii="Calibri" w:hAnsi="Calibri"/>
          <w:sz w:val="24"/>
          <w:szCs w:val="24"/>
        </w:rPr>
        <w:t>empowers perinatal care providers with the knowledge and insight they need to close the gap; to align their values on high-quality, unbiased, equitable, and respectful care with the actual care that many Black birthing women receive. The following concepts are highlighted</w:t>
      </w:r>
      <w:r w:rsidRPr="00632630">
        <w:rPr>
          <w:rFonts w:ascii="Calibri" w:hAnsi="Calibri"/>
          <w:sz w:val="24"/>
          <w:szCs w:val="24"/>
        </w:rPr>
        <w:t>:</w:t>
      </w:r>
    </w:p>
    <w:p w14:paraId="7FFD25B7" w14:textId="5500FE3B" w:rsidR="00FE6EE5" w:rsidRPr="00632630" w:rsidRDefault="00FE6EE5" w:rsidP="00FE6EE5">
      <w:pPr>
        <w:pStyle w:val="ListParagraph"/>
        <w:numPr>
          <w:ilvl w:val="0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Racial bias</w:t>
      </w:r>
    </w:p>
    <w:p w14:paraId="21FDD097" w14:textId="5A9E24F8" w:rsidR="00FE6EE5" w:rsidRPr="00632630" w:rsidRDefault="00FE6EE5" w:rsidP="00FE6EE5">
      <w:pPr>
        <w:pStyle w:val="ListParagraph"/>
        <w:numPr>
          <w:ilvl w:val="1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Inequity in care</w:t>
      </w:r>
    </w:p>
    <w:p w14:paraId="2137FF88" w14:textId="77777777" w:rsidR="00FE6EE5" w:rsidRPr="00632630" w:rsidRDefault="00FE6EE5" w:rsidP="00FE6EE5">
      <w:pPr>
        <w:pStyle w:val="ListParagraph"/>
        <w:numPr>
          <w:ilvl w:val="1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Personal/Professional values</w:t>
      </w:r>
    </w:p>
    <w:p w14:paraId="7C52D39A" w14:textId="77777777" w:rsidR="00FE6EE5" w:rsidRPr="00632630" w:rsidRDefault="00FE6EE5" w:rsidP="00FE6EE5">
      <w:pPr>
        <w:pStyle w:val="ListParagraph"/>
        <w:numPr>
          <w:ilvl w:val="1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Common values</w:t>
      </w:r>
    </w:p>
    <w:p w14:paraId="108CBAED" w14:textId="279610C5" w:rsidR="00FE6EE5" w:rsidRPr="00632630" w:rsidRDefault="00FE6EE5" w:rsidP="00FE6EE5">
      <w:pPr>
        <w:pStyle w:val="ListParagraph"/>
        <w:numPr>
          <w:ilvl w:val="0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Perspective taking</w:t>
      </w:r>
    </w:p>
    <w:p w14:paraId="01EBD2DE" w14:textId="00BE96C8" w:rsidR="00FE6EE5" w:rsidRPr="00632630" w:rsidRDefault="00FE6EE5" w:rsidP="00FE6EE5">
      <w:pPr>
        <w:pStyle w:val="ListParagraph"/>
        <w:numPr>
          <w:ilvl w:val="1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Stereotyping</w:t>
      </w:r>
    </w:p>
    <w:p w14:paraId="4F054E0A" w14:textId="77777777" w:rsidR="00FE6EE5" w:rsidRPr="00632630" w:rsidRDefault="00FE6EE5" w:rsidP="00FE6EE5">
      <w:pPr>
        <w:pStyle w:val="ListParagraph"/>
        <w:numPr>
          <w:ilvl w:val="1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Unpacking bias</w:t>
      </w:r>
    </w:p>
    <w:p w14:paraId="198FA2BD" w14:textId="77777777" w:rsidR="00FE6EE5" w:rsidRPr="00632630" w:rsidRDefault="00FE6EE5" w:rsidP="00FE6EE5">
      <w:pPr>
        <w:pStyle w:val="ListParagraph"/>
        <w:numPr>
          <w:ilvl w:val="1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Historical relevance</w:t>
      </w:r>
    </w:p>
    <w:p w14:paraId="3662F39E" w14:textId="542E097D" w:rsidR="00FE6EE5" w:rsidRPr="00632630" w:rsidRDefault="00FE6EE5" w:rsidP="00FE6EE5">
      <w:pPr>
        <w:pStyle w:val="ListParagraph"/>
        <w:numPr>
          <w:ilvl w:val="0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Interrupting racial bias</w:t>
      </w:r>
    </w:p>
    <w:p w14:paraId="0D28CEC4" w14:textId="77777777" w:rsidR="00FE6EE5" w:rsidRPr="00632630" w:rsidRDefault="00FE6EE5" w:rsidP="00FE6EE5">
      <w:pPr>
        <w:pStyle w:val="ListParagraph"/>
        <w:numPr>
          <w:ilvl w:val="1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Connecting the dots</w:t>
      </w:r>
    </w:p>
    <w:p w14:paraId="7190EAED" w14:textId="77777777" w:rsidR="00FE6EE5" w:rsidRPr="00632630" w:rsidRDefault="00FE6EE5" w:rsidP="00FE6EE5">
      <w:pPr>
        <w:pStyle w:val="ListParagraph"/>
        <w:numPr>
          <w:ilvl w:val="1"/>
          <w:numId w:val="28"/>
        </w:num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 xml:space="preserve">Developing an action plan </w:t>
      </w:r>
    </w:p>
    <w:p w14:paraId="5310F724" w14:textId="22BB9114" w:rsidR="005D57C4" w:rsidRPr="00632630" w:rsidRDefault="005D57C4" w:rsidP="005D57C4">
      <w:p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b/>
          <w:sz w:val="24"/>
          <w:szCs w:val="24"/>
          <w:u w:val="single"/>
        </w:rPr>
        <w:t>Module 2</w:t>
      </w:r>
      <w:r w:rsidRPr="00632630">
        <w:rPr>
          <w:rFonts w:ascii="Calibri" w:hAnsi="Calibri"/>
          <w:sz w:val="24"/>
          <w:szCs w:val="24"/>
        </w:rPr>
        <w:t xml:space="preserve">, </w:t>
      </w:r>
      <w:r w:rsidR="00C14998" w:rsidRPr="00632630">
        <w:rPr>
          <w:rFonts w:ascii="Calibri" w:hAnsi="Calibri"/>
          <w:b/>
          <w:sz w:val="24"/>
          <w:szCs w:val="24"/>
        </w:rPr>
        <w:t>Racism not Race</w:t>
      </w:r>
      <w:r w:rsidRPr="00632630">
        <w:rPr>
          <w:rFonts w:ascii="Calibri" w:hAnsi="Calibri"/>
          <w:sz w:val="24"/>
          <w:szCs w:val="24"/>
        </w:rPr>
        <w:t xml:space="preserve">, </w:t>
      </w:r>
      <w:r w:rsidR="00FE6EE5" w:rsidRPr="00632630">
        <w:rPr>
          <w:rFonts w:ascii="Calibri" w:hAnsi="Calibri"/>
          <w:sz w:val="24"/>
          <w:szCs w:val="24"/>
        </w:rPr>
        <w:t xml:space="preserve">focuses on how racism in all of its forms impacts the care given to Black patients and strategies that work with our brains to interrupt racism in perinatal care. </w:t>
      </w:r>
      <w:r w:rsidRPr="00632630">
        <w:rPr>
          <w:rFonts w:ascii="Calibri" w:hAnsi="Calibri"/>
          <w:sz w:val="24"/>
          <w:szCs w:val="24"/>
        </w:rPr>
        <w:t>The following concepts are highlighted:</w:t>
      </w:r>
    </w:p>
    <w:p w14:paraId="4CE5F007" w14:textId="621EF1C7" w:rsidR="005D57C4" w:rsidRPr="00632630" w:rsidRDefault="00FE6EE5" w:rsidP="005D57C4">
      <w:pPr>
        <w:numPr>
          <w:ilvl w:val="0"/>
          <w:numId w:val="26"/>
        </w:numPr>
        <w:spacing w:after="0" w:line="240" w:lineRule="auto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(Unpacking) Implicit bias</w:t>
      </w:r>
    </w:p>
    <w:p w14:paraId="2A1E27E1" w14:textId="62BE72B9" w:rsidR="00FE6EE5" w:rsidRPr="00632630" w:rsidRDefault="00FE6EE5" w:rsidP="00FE6EE5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Empathy gap:</w:t>
      </w:r>
    </w:p>
    <w:p w14:paraId="59DBBE84" w14:textId="77777777" w:rsidR="00FE6EE5" w:rsidRPr="00632630" w:rsidRDefault="00FE6EE5" w:rsidP="00FE6EE5">
      <w:pPr>
        <w:pStyle w:val="ListParagraph"/>
        <w:numPr>
          <w:ilvl w:val="1"/>
          <w:numId w:val="26"/>
        </w:numPr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Differing perspectives</w:t>
      </w:r>
    </w:p>
    <w:p w14:paraId="5E28B966" w14:textId="511FC05D" w:rsidR="00FE6EE5" w:rsidRPr="00632630" w:rsidRDefault="00FE6EE5" w:rsidP="00FE6EE5">
      <w:pPr>
        <w:pStyle w:val="ListParagraph"/>
        <w:numPr>
          <w:ilvl w:val="1"/>
          <w:numId w:val="26"/>
        </w:numPr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Cross-race empathy gap/Respectful care</w:t>
      </w:r>
    </w:p>
    <w:p w14:paraId="3FD5DB9D" w14:textId="77777777" w:rsidR="006167F9" w:rsidRPr="00632630" w:rsidRDefault="006167F9" w:rsidP="006167F9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Concept of weathering</w:t>
      </w:r>
    </w:p>
    <w:p w14:paraId="6689DF11" w14:textId="69F0CC00" w:rsidR="00A95334" w:rsidRPr="00632630" w:rsidRDefault="006167F9" w:rsidP="00A95334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Implementation of strategies</w:t>
      </w:r>
    </w:p>
    <w:p w14:paraId="1D57BBE8" w14:textId="60146920" w:rsidR="005D57C4" w:rsidRPr="00632630" w:rsidRDefault="005D57C4" w:rsidP="005D57C4">
      <w:pPr>
        <w:spacing w:after="120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b/>
          <w:sz w:val="24"/>
          <w:szCs w:val="24"/>
          <w:u w:val="single"/>
        </w:rPr>
        <w:t>Module 3</w:t>
      </w:r>
      <w:r w:rsidRPr="00632630">
        <w:rPr>
          <w:rFonts w:ascii="Calibri" w:hAnsi="Calibri"/>
          <w:sz w:val="24"/>
          <w:szCs w:val="24"/>
        </w:rPr>
        <w:t xml:space="preserve">, </w:t>
      </w:r>
      <w:r w:rsidR="00C14998" w:rsidRPr="00632630">
        <w:rPr>
          <w:rFonts w:ascii="Calibri" w:hAnsi="Calibri"/>
          <w:b/>
          <w:sz w:val="24"/>
          <w:szCs w:val="24"/>
        </w:rPr>
        <w:t>Taking Action</w:t>
      </w:r>
      <w:r w:rsidRPr="00632630">
        <w:rPr>
          <w:rFonts w:ascii="Calibri" w:hAnsi="Calibri"/>
          <w:sz w:val="24"/>
          <w:szCs w:val="24"/>
        </w:rPr>
        <w:t xml:space="preserve">, </w:t>
      </w:r>
      <w:r w:rsidR="006167F9" w:rsidRPr="00632630">
        <w:rPr>
          <w:rFonts w:ascii="Calibri" w:hAnsi="Calibri"/>
          <w:sz w:val="24"/>
          <w:szCs w:val="24"/>
        </w:rPr>
        <w:t>models what positive and ongoing anti-racist healthcare practice might look like and how to incorporate reproductive justice values into our care for Black birthing women and all birthing people</w:t>
      </w:r>
      <w:r w:rsidRPr="00632630">
        <w:rPr>
          <w:rFonts w:ascii="Calibri" w:hAnsi="Calibri"/>
          <w:sz w:val="24"/>
          <w:szCs w:val="24"/>
        </w:rPr>
        <w:t>. Concepts highlighted include:</w:t>
      </w:r>
    </w:p>
    <w:p w14:paraId="71E623B0" w14:textId="34B995EE" w:rsidR="006167F9" w:rsidRPr="00632630" w:rsidRDefault="006167F9" w:rsidP="006167F9">
      <w:pPr>
        <w:numPr>
          <w:ilvl w:val="0"/>
          <w:numId w:val="27"/>
        </w:numPr>
        <w:spacing w:after="0" w:line="240" w:lineRule="auto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Reproductive Justice Framework, the rights to:</w:t>
      </w:r>
    </w:p>
    <w:p w14:paraId="24F41305" w14:textId="48848F41" w:rsidR="006167F9" w:rsidRPr="00632630" w:rsidRDefault="006167F9" w:rsidP="006167F9">
      <w:pPr>
        <w:numPr>
          <w:ilvl w:val="1"/>
          <w:numId w:val="27"/>
        </w:numPr>
        <w:spacing w:after="0" w:line="240" w:lineRule="auto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Personal, bodily autonomy</w:t>
      </w:r>
      <w:r w:rsidR="00914E69" w:rsidRPr="00632630">
        <w:rPr>
          <w:rFonts w:ascii="Calibri" w:hAnsi="Calibri"/>
          <w:sz w:val="24"/>
          <w:szCs w:val="24"/>
        </w:rPr>
        <w:t xml:space="preserve"> </w:t>
      </w:r>
    </w:p>
    <w:p w14:paraId="428A78DD" w14:textId="77777777" w:rsidR="006167F9" w:rsidRPr="00632630" w:rsidRDefault="006167F9" w:rsidP="006167F9">
      <w:pPr>
        <w:numPr>
          <w:ilvl w:val="1"/>
          <w:numId w:val="27"/>
        </w:numPr>
        <w:spacing w:after="0" w:line="240" w:lineRule="auto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Decide whether to have children</w:t>
      </w:r>
    </w:p>
    <w:p w14:paraId="554B8C27" w14:textId="4E4C9427" w:rsidR="006167F9" w:rsidRPr="00632630" w:rsidRDefault="006167F9" w:rsidP="006167F9">
      <w:pPr>
        <w:numPr>
          <w:ilvl w:val="1"/>
          <w:numId w:val="27"/>
        </w:numPr>
        <w:spacing w:after="0" w:line="240" w:lineRule="auto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Parent children in safe and health environments</w:t>
      </w:r>
    </w:p>
    <w:p w14:paraId="71BCFE0D" w14:textId="77777777" w:rsidR="006167F9" w:rsidRPr="00632630" w:rsidRDefault="006167F9" w:rsidP="006167F9">
      <w:pPr>
        <w:numPr>
          <w:ilvl w:val="0"/>
          <w:numId w:val="27"/>
        </w:numPr>
        <w:spacing w:after="0" w:line="240" w:lineRule="auto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Bias-reducing strategies</w:t>
      </w:r>
    </w:p>
    <w:p w14:paraId="7D14FD9E" w14:textId="77777777" w:rsidR="006167F9" w:rsidRPr="00632630" w:rsidRDefault="006167F9" w:rsidP="006167F9">
      <w:pPr>
        <w:numPr>
          <w:ilvl w:val="0"/>
          <w:numId w:val="27"/>
        </w:numPr>
        <w:spacing w:after="0" w:line="240" w:lineRule="auto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Patient-centered Care</w:t>
      </w:r>
    </w:p>
    <w:p w14:paraId="62009153" w14:textId="77777777" w:rsidR="006167F9" w:rsidRPr="00632630" w:rsidRDefault="006167F9" w:rsidP="006167F9">
      <w:pPr>
        <w:numPr>
          <w:ilvl w:val="0"/>
          <w:numId w:val="27"/>
        </w:numPr>
        <w:spacing w:after="0" w:line="240" w:lineRule="auto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Addressing Racism in Healthcare</w:t>
      </w:r>
    </w:p>
    <w:p w14:paraId="4AD41A22" w14:textId="77777777" w:rsidR="006167F9" w:rsidRPr="00632630" w:rsidRDefault="006167F9" w:rsidP="006167F9">
      <w:pPr>
        <w:numPr>
          <w:ilvl w:val="0"/>
          <w:numId w:val="27"/>
        </w:numPr>
        <w:spacing w:after="0" w:line="240" w:lineRule="auto"/>
        <w:rPr>
          <w:rFonts w:ascii="Calibri" w:hAnsi="Calibri"/>
          <w:sz w:val="24"/>
          <w:szCs w:val="24"/>
        </w:rPr>
      </w:pPr>
      <w:r w:rsidRPr="00632630">
        <w:rPr>
          <w:rFonts w:ascii="Calibri" w:hAnsi="Calibri"/>
          <w:sz w:val="24"/>
          <w:szCs w:val="24"/>
        </w:rPr>
        <w:t>Building an Action Plan</w:t>
      </w:r>
    </w:p>
    <w:p w14:paraId="35BADC8B" w14:textId="3242CD20" w:rsidR="00FB53BF" w:rsidRPr="00632630" w:rsidRDefault="00FB53BF" w:rsidP="006167F9">
      <w:pPr>
        <w:rPr>
          <w:rFonts w:ascii="Calibri" w:eastAsia="Calibri" w:hAnsi="Calibri" w:cstheme="minorHAnsi"/>
          <w:sz w:val="24"/>
          <w:szCs w:val="24"/>
          <w:u w:val="single"/>
        </w:rPr>
      </w:pPr>
    </w:p>
    <w:sectPr w:rsidR="00FB53BF" w:rsidRPr="00632630" w:rsidSect="00102BB0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DE756" w14:textId="77777777" w:rsidR="006855D3" w:rsidRDefault="006855D3" w:rsidP="00882AAA">
      <w:pPr>
        <w:spacing w:after="0" w:line="240" w:lineRule="auto"/>
      </w:pPr>
      <w:r>
        <w:separator/>
      </w:r>
    </w:p>
  </w:endnote>
  <w:endnote w:type="continuationSeparator" w:id="0">
    <w:p w14:paraId="62318A38" w14:textId="77777777" w:rsidR="006855D3" w:rsidRDefault="006855D3" w:rsidP="0088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CEA80" w14:textId="77777777" w:rsidR="006855D3" w:rsidRDefault="006855D3" w:rsidP="00882AAA">
      <w:pPr>
        <w:spacing w:after="0" w:line="240" w:lineRule="auto"/>
      </w:pPr>
      <w:r>
        <w:separator/>
      </w:r>
    </w:p>
  </w:footnote>
  <w:footnote w:type="continuationSeparator" w:id="0">
    <w:p w14:paraId="6F6C51B5" w14:textId="77777777" w:rsidR="006855D3" w:rsidRDefault="006855D3" w:rsidP="0088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631"/>
    <w:multiLevelType w:val="hybridMultilevel"/>
    <w:tmpl w:val="5124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7B6"/>
    <w:multiLevelType w:val="hybridMultilevel"/>
    <w:tmpl w:val="C0EA8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DE1"/>
    <w:multiLevelType w:val="multilevel"/>
    <w:tmpl w:val="1F5668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0A1520"/>
    <w:multiLevelType w:val="hybridMultilevel"/>
    <w:tmpl w:val="37D439D8"/>
    <w:lvl w:ilvl="0" w:tplc="DAE8B520">
      <w:start w:val="6"/>
      <w:numFmt w:val="bullet"/>
      <w:lvlText w:val="·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F526DE2"/>
    <w:multiLevelType w:val="hybridMultilevel"/>
    <w:tmpl w:val="7924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7184"/>
    <w:multiLevelType w:val="hybridMultilevel"/>
    <w:tmpl w:val="BEF42B8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5A70C7"/>
    <w:multiLevelType w:val="hybridMultilevel"/>
    <w:tmpl w:val="B734E8F4"/>
    <w:lvl w:ilvl="0" w:tplc="A7920F0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55FC"/>
    <w:multiLevelType w:val="hybridMultilevel"/>
    <w:tmpl w:val="C354E6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7CC895FC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173792"/>
    <w:multiLevelType w:val="hybridMultilevel"/>
    <w:tmpl w:val="49D0318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7CC895FC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A74B93"/>
    <w:multiLevelType w:val="hybridMultilevel"/>
    <w:tmpl w:val="12327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20629F"/>
    <w:multiLevelType w:val="hybridMultilevel"/>
    <w:tmpl w:val="5E985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B1E80"/>
    <w:multiLevelType w:val="hybridMultilevel"/>
    <w:tmpl w:val="998610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7CC895FC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DD5F95"/>
    <w:multiLevelType w:val="hybridMultilevel"/>
    <w:tmpl w:val="04BAAF50"/>
    <w:lvl w:ilvl="0" w:tplc="A7920F06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022EA5"/>
    <w:multiLevelType w:val="hybridMultilevel"/>
    <w:tmpl w:val="5D304E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7CC895FC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08B09FF"/>
    <w:multiLevelType w:val="multilevel"/>
    <w:tmpl w:val="7106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1E1F60"/>
    <w:multiLevelType w:val="hybridMultilevel"/>
    <w:tmpl w:val="E564E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17AEA"/>
    <w:multiLevelType w:val="hybridMultilevel"/>
    <w:tmpl w:val="49CA49AA"/>
    <w:lvl w:ilvl="0" w:tplc="7CC895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A67A4"/>
    <w:multiLevelType w:val="hybridMultilevel"/>
    <w:tmpl w:val="97621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895FC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  <w:b w:val="0"/>
        <w:bCs w:val="0"/>
        <w:i w:val="0"/>
        <w:iCs w:val="0"/>
        <w:color w:val="1B1F24"/>
        <w:sz w:val="24"/>
        <w:szCs w:val="24"/>
      </w:rPr>
    </w:lvl>
    <w:lvl w:ilvl="3" w:tplc="7CC895FC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6EF5"/>
    <w:multiLevelType w:val="hybridMultilevel"/>
    <w:tmpl w:val="CAD611F6"/>
    <w:lvl w:ilvl="0" w:tplc="7CC895FC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CD2353C"/>
    <w:multiLevelType w:val="hybridMultilevel"/>
    <w:tmpl w:val="5FEC69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F906875"/>
    <w:multiLevelType w:val="hybridMultilevel"/>
    <w:tmpl w:val="0A5CE30E"/>
    <w:lvl w:ilvl="0" w:tplc="7CC895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B7EDA"/>
    <w:multiLevelType w:val="hybridMultilevel"/>
    <w:tmpl w:val="6A628E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07336C"/>
    <w:multiLevelType w:val="hybridMultilevel"/>
    <w:tmpl w:val="C03C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03116"/>
    <w:multiLevelType w:val="hybridMultilevel"/>
    <w:tmpl w:val="C6F0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654B6"/>
    <w:multiLevelType w:val="hybridMultilevel"/>
    <w:tmpl w:val="09822874"/>
    <w:lvl w:ilvl="0" w:tplc="7CC895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4E27"/>
    <w:multiLevelType w:val="hybridMultilevel"/>
    <w:tmpl w:val="0882AD7A"/>
    <w:lvl w:ilvl="0" w:tplc="7CC895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94486"/>
    <w:multiLevelType w:val="hybridMultilevel"/>
    <w:tmpl w:val="04EC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109CB"/>
    <w:multiLevelType w:val="hybridMultilevel"/>
    <w:tmpl w:val="CF7C5854"/>
    <w:lvl w:ilvl="0" w:tplc="A7920F06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22"/>
  </w:num>
  <w:num w:numId="5">
    <w:abstractNumId w:val="15"/>
  </w:num>
  <w:num w:numId="6">
    <w:abstractNumId w:val="27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19"/>
  </w:num>
  <w:num w:numId="14">
    <w:abstractNumId w:val="21"/>
  </w:num>
  <w:num w:numId="15">
    <w:abstractNumId w:val="11"/>
  </w:num>
  <w:num w:numId="16">
    <w:abstractNumId w:val="8"/>
  </w:num>
  <w:num w:numId="17">
    <w:abstractNumId w:val="7"/>
  </w:num>
  <w:num w:numId="18">
    <w:abstractNumId w:val="13"/>
  </w:num>
  <w:num w:numId="19">
    <w:abstractNumId w:val="18"/>
  </w:num>
  <w:num w:numId="20">
    <w:abstractNumId w:val="9"/>
  </w:num>
  <w:num w:numId="21">
    <w:abstractNumId w:val="10"/>
  </w:num>
  <w:num w:numId="22">
    <w:abstractNumId w:val="1"/>
  </w:num>
  <w:num w:numId="23">
    <w:abstractNumId w:val="3"/>
  </w:num>
  <w:num w:numId="24">
    <w:abstractNumId w:val="4"/>
  </w:num>
  <w:num w:numId="25">
    <w:abstractNumId w:val="16"/>
  </w:num>
  <w:num w:numId="26">
    <w:abstractNumId w:val="25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3D"/>
    <w:rsid w:val="00016635"/>
    <w:rsid w:val="000753CF"/>
    <w:rsid w:val="000A5FBB"/>
    <w:rsid w:val="00102BB0"/>
    <w:rsid w:val="001B3AC0"/>
    <w:rsid w:val="00212BCF"/>
    <w:rsid w:val="00423A12"/>
    <w:rsid w:val="004332AE"/>
    <w:rsid w:val="00490361"/>
    <w:rsid w:val="005768C3"/>
    <w:rsid w:val="005D57C4"/>
    <w:rsid w:val="00611552"/>
    <w:rsid w:val="006167F9"/>
    <w:rsid w:val="00632630"/>
    <w:rsid w:val="00664884"/>
    <w:rsid w:val="00682777"/>
    <w:rsid w:val="006855D3"/>
    <w:rsid w:val="006D14D2"/>
    <w:rsid w:val="006F745E"/>
    <w:rsid w:val="00803393"/>
    <w:rsid w:val="00882AAA"/>
    <w:rsid w:val="008B1BA2"/>
    <w:rsid w:val="00904950"/>
    <w:rsid w:val="00914E69"/>
    <w:rsid w:val="009B2440"/>
    <w:rsid w:val="009C6715"/>
    <w:rsid w:val="009E40D6"/>
    <w:rsid w:val="00A11FF8"/>
    <w:rsid w:val="00A359E7"/>
    <w:rsid w:val="00A448D0"/>
    <w:rsid w:val="00A95334"/>
    <w:rsid w:val="00AB615D"/>
    <w:rsid w:val="00BE5369"/>
    <w:rsid w:val="00C14998"/>
    <w:rsid w:val="00C64FE6"/>
    <w:rsid w:val="00DB00C7"/>
    <w:rsid w:val="00DD675A"/>
    <w:rsid w:val="00E22E53"/>
    <w:rsid w:val="00EC7A3D"/>
    <w:rsid w:val="00FA0AE2"/>
    <w:rsid w:val="00FB53BF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0653"/>
  <w15:chartTrackingRefBased/>
  <w15:docId w15:val="{34E82D84-C5E1-449E-82FC-6D301574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AA"/>
  </w:style>
  <w:style w:type="paragraph" w:styleId="Footer">
    <w:name w:val="footer"/>
    <w:basedOn w:val="Normal"/>
    <w:link w:val="FooterChar"/>
    <w:uiPriority w:val="99"/>
    <w:unhideWhenUsed/>
    <w:rsid w:val="0088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AA"/>
  </w:style>
  <w:style w:type="table" w:customStyle="1" w:styleId="TableGrid1">
    <w:name w:val="Table Grid1"/>
    <w:basedOn w:val="TableNormal"/>
    <w:next w:val="TableGrid"/>
    <w:uiPriority w:val="59"/>
    <w:rsid w:val="00FB53B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5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5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87B1-CFCE-442F-8344-469485D1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Ieshia Johnson</cp:lastModifiedBy>
  <cp:revision>3</cp:revision>
  <dcterms:created xsi:type="dcterms:W3CDTF">2021-05-12T03:26:00Z</dcterms:created>
  <dcterms:modified xsi:type="dcterms:W3CDTF">2021-05-12T19:10:00Z</dcterms:modified>
</cp:coreProperties>
</file>